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403C9">
        <w:tc>
          <w:tcPr>
            <w:tcW w:w="509" w:type="dxa"/>
          </w:tcPr>
          <w:p w:rsidR="000403C9" w:rsidRDefault="00F8386B">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403C9" w:rsidRDefault="00F8386B">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86C3E">
              <w:rPr>
                <w:rFonts w:ascii="黑体" w:eastAsia="黑体" w:hAnsi="黑体"/>
                <w:sz w:val="21"/>
                <w:szCs w:val="21"/>
              </w:rPr>
              <w:t>点击此处添加ICS号</w:t>
            </w:r>
            <w:r>
              <w:rPr>
                <w:rFonts w:ascii="黑体" w:eastAsia="黑体" w:hAnsi="黑体"/>
                <w:sz w:val="21"/>
                <w:szCs w:val="21"/>
              </w:rPr>
              <w:fldChar w:fldCharType="end"/>
            </w:r>
            <w:bookmarkEnd w:id="0"/>
          </w:p>
        </w:tc>
      </w:tr>
      <w:tr w:rsidR="000403C9">
        <w:tc>
          <w:tcPr>
            <w:tcW w:w="509" w:type="dxa"/>
          </w:tcPr>
          <w:p w:rsidR="000403C9" w:rsidRDefault="00F8386B">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0403C9" w:rsidRDefault="00F8386B">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0403C9">
        <w:tc>
          <w:tcPr>
            <w:tcW w:w="6407" w:type="dxa"/>
          </w:tcPr>
          <w:p w:rsidR="000403C9" w:rsidRDefault="00F8386B">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3709</w:t>
            </w:r>
            <w:r>
              <w:fldChar w:fldCharType="end"/>
            </w:r>
            <w:bookmarkEnd w:id="3"/>
          </w:p>
        </w:tc>
      </w:tr>
    </w:tbl>
    <w:p w:rsidR="000403C9" w:rsidRDefault="00F8386B">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泰安市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0403C9" w:rsidRDefault="00F8386B">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sidR="00D505FB">
        <w:t>2</w:t>
      </w:r>
      <w:r>
        <w:fldChar w:fldCharType="end"/>
      </w:r>
      <w:bookmarkEnd w:id="7"/>
    </w:p>
    <w:p w:rsidR="000403C9" w:rsidRDefault="00F8386B">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0403C9" w:rsidRDefault="00F8386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0403C9" w:rsidRDefault="000403C9">
      <w:pPr>
        <w:pStyle w:val="afffff0"/>
        <w:framePr w:w="9639" w:h="6976" w:hRule="exact" w:hSpace="0" w:vSpace="0" w:wrap="around" w:hAnchor="page" w:y="6408"/>
        <w:jc w:val="center"/>
        <w:rPr>
          <w:rFonts w:ascii="黑体" w:eastAsia="黑体" w:hAnsi="黑体"/>
          <w:b w:val="0"/>
          <w:bCs w:val="0"/>
          <w:w w:val="100"/>
        </w:rPr>
      </w:pPr>
    </w:p>
    <w:p w:rsidR="000403C9" w:rsidRDefault="00F8386B">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505FB">
        <w:t>废弃鱼塘垦造藕田建设规范</w:t>
      </w:r>
      <w:r>
        <w:fldChar w:fldCharType="end"/>
      </w:r>
      <w:bookmarkEnd w:id="9"/>
    </w:p>
    <w:p w:rsidR="000403C9" w:rsidRDefault="000403C9">
      <w:pPr>
        <w:framePr w:w="9639" w:h="6974" w:hRule="exact" w:wrap="around" w:vAnchor="page" w:hAnchor="page" w:x="1419" w:y="6408" w:anchorLock="1"/>
        <w:ind w:left="-1418"/>
      </w:pPr>
    </w:p>
    <w:p w:rsidR="000403C9" w:rsidRDefault="00F8386B">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Construction specification for transformation of abandoned fishponds into lotus root fields </w:t>
      </w:r>
      <w:r>
        <w:rPr>
          <w:rFonts w:eastAsia="黑体"/>
          <w:szCs w:val="28"/>
        </w:rPr>
        <w:fldChar w:fldCharType="end"/>
      </w:r>
      <w:bookmarkEnd w:id="10"/>
    </w:p>
    <w:p w:rsidR="000403C9" w:rsidRDefault="000403C9">
      <w:pPr>
        <w:framePr w:w="9639" w:h="6974" w:hRule="exact" w:wrap="around" w:vAnchor="page" w:hAnchor="page" w:x="1419" w:y="6408" w:anchorLock="1"/>
        <w:spacing w:line="760" w:lineRule="exact"/>
        <w:ind w:left="-1418"/>
      </w:pPr>
    </w:p>
    <w:p w:rsidR="000403C9" w:rsidRDefault="000403C9">
      <w:pPr>
        <w:pStyle w:val="afffffff8"/>
        <w:framePr w:w="9639" w:h="6974" w:hRule="exact" w:wrap="around" w:vAnchor="page" w:hAnchor="page" w:x="1419" w:y="6408" w:anchorLock="1"/>
        <w:textAlignment w:val="bottom"/>
        <w:rPr>
          <w:rFonts w:eastAsia="黑体"/>
          <w:szCs w:val="28"/>
        </w:rPr>
      </w:pPr>
    </w:p>
    <w:p w:rsidR="000403C9" w:rsidRDefault="00F8386B">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5C6F6B">
        <w:rPr>
          <w:sz w:val="24"/>
          <w:szCs w:val="28"/>
        </w:rPr>
      </w:r>
      <w:r w:rsidR="005C6F6B">
        <w:rPr>
          <w:sz w:val="24"/>
          <w:szCs w:val="28"/>
        </w:rPr>
        <w:fldChar w:fldCharType="separate"/>
      </w:r>
      <w:r>
        <w:rPr>
          <w:sz w:val="24"/>
          <w:szCs w:val="28"/>
        </w:rPr>
        <w:fldChar w:fldCharType="end"/>
      </w:r>
      <w:bookmarkEnd w:id="11"/>
    </w:p>
    <w:p w:rsidR="000403C9" w:rsidRDefault="00F8386B">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0403C9" w:rsidRDefault="00F8386B">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5C6F6B">
        <w:rPr>
          <w:b/>
          <w:sz w:val="21"/>
          <w:szCs w:val="28"/>
        </w:rPr>
      </w:r>
      <w:r w:rsidR="005C6F6B">
        <w:rPr>
          <w:b/>
          <w:sz w:val="21"/>
          <w:szCs w:val="28"/>
        </w:rPr>
        <w:fldChar w:fldCharType="separate"/>
      </w:r>
      <w:r>
        <w:rPr>
          <w:b/>
          <w:sz w:val="21"/>
          <w:szCs w:val="28"/>
        </w:rPr>
        <w:fldChar w:fldCharType="end"/>
      </w:r>
      <w:bookmarkEnd w:id="13"/>
    </w:p>
    <w:p w:rsidR="000403C9" w:rsidRDefault="00F8386B">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0403C9" w:rsidRDefault="00F8386B">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0403C9" w:rsidRDefault="00F8386B">
      <w:pPr>
        <w:pStyle w:val="affffffff8"/>
        <w:framePr w:h="584" w:hRule="exact" w:hSpace="181" w:vSpace="181" w:wrap="around" w:y="15027"/>
        <w:jc w:val="both"/>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 xml:space="preserve">         泰安市市场监督管理局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0403C9" w:rsidRDefault="00F8386B">
      <w:pPr>
        <w:rPr>
          <w:rFonts w:ascii="宋体" w:hAnsi="宋体"/>
          <w:sz w:val="28"/>
          <w:szCs w:val="28"/>
        </w:rPr>
        <w:sectPr w:rsidR="000403C9">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0403C9" w:rsidRDefault="00F8386B">
      <w:pPr>
        <w:pStyle w:val="a6"/>
        <w:spacing w:after="468"/>
      </w:pPr>
      <w:bookmarkStart w:id="21" w:name="BookMark2"/>
      <w:r>
        <w:rPr>
          <w:spacing w:val="320"/>
        </w:rPr>
        <w:lastRenderedPageBreak/>
        <w:t>前</w:t>
      </w:r>
      <w:r>
        <w:t>言</w:t>
      </w:r>
    </w:p>
    <w:p w:rsidR="000403C9" w:rsidRDefault="00F8386B">
      <w:pPr>
        <w:pStyle w:val="afffff5"/>
        <w:ind w:firstLine="420"/>
      </w:pPr>
      <w:r>
        <w:rPr>
          <w:rFonts w:hint="eastAsia"/>
        </w:rPr>
        <w:t>本文件按照GB/T 1.1—2020《标准化工作导则  第1部分：标准化文件的结构和起草规则》的规定起草。</w:t>
      </w:r>
    </w:p>
    <w:p w:rsidR="000403C9" w:rsidRDefault="00F8386B">
      <w:pPr>
        <w:pStyle w:val="afffff5"/>
        <w:ind w:firstLine="420"/>
      </w:pPr>
      <w:r>
        <w:rPr>
          <w:rFonts w:hint="eastAsia"/>
        </w:rPr>
        <w:t>本文件由泰安市自然资源和规划局提出。</w:t>
      </w:r>
    </w:p>
    <w:p w:rsidR="000403C9" w:rsidRDefault="00F8386B">
      <w:pPr>
        <w:pStyle w:val="afffff5"/>
        <w:ind w:firstLine="420"/>
      </w:pPr>
      <w:r>
        <w:rPr>
          <w:rFonts w:hint="eastAsia"/>
        </w:rPr>
        <w:t>本文件由泰安市自然资源和规划局归口。</w:t>
      </w:r>
    </w:p>
    <w:p w:rsidR="000403C9" w:rsidRDefault="00F8386B">
      <w:pPr>
        <w:pStyle w:val="afffff5"/>
        <w:ind w:firstLine="420"/>
      </w:pPr>
      <w:r>
        <w:rPr>
          <w:rFonts w:hint="eastAsia"/>
        </w:rPr>
        <w:t>本文件起草单位：泰安市自然资源和规划局、山东农业大学、泰安市金土地测绘整理有限公司</w:t>
      </w:r>
    </w:p>
    <w:p w:rsidR="000403C9" w:rsidRDefault="00F8386B">
      <w:pPr>
        <w:pStyle w:val="afffff5"/>
        <w:ind w:firstLine="420"/>
      </w:pPr>
      <w:r>
        <w:rPr>
          <w:rFonts w:hint="eastAsia"/>
        </w:rPr>
        <w:t>本文件主要起草人：宋凤玲、岳慧蕾、邢豪、孙薇、时鹰、张国平、周蕊、李新新、浩洪、牛蓓蓓、曹嘉芮、郭启超、刘鹏程、史书琳。</w:t>
      </w:r>
    </w:p>
    <w:p w:rsidR="000403C9" w:rsidRDefault="000403C9">
      <w:pPr>
        <w:pStyle w:val="afffff5"/>
        <w:ind w:firstLine="420"/>
        <w:sectPr w:rsidR="000403C9">
          <w:headerReference w:type="even" r:id="rId14"/>
          <w:headerReference w:type="default" r:id="rId15"/>
          <w:footerReference w:type="default" r:id="rId16"/>
          <w:pgSz w:w="11906" w:h="16838"/>
          <w:pgMar w:top="2410" w:right="1134" w:bottom="1134" w:left="1134" w:header="1418" w:footer="1134" w:gutter="284"/>
          <w:pgNumType w:fmt="upperRoman" w:start="1"/>
          <w:cols w:space="425"/>
          <w:formProt w:val="0"/>
          <w:docGrid w:type="lines" w:linePitch="312"/>
        </w:sectPr>
      </w:pPr>
    </w:p>
    <w:p w:rsidR="000403C9" w:rsidRDefault="000403C9">
      <w:pPr>
        <w:spacing w:line="20" w:lineRule="exact"/>
        <w:jc w:val="center"/>
        <w:rPr>
          <w:rFonts w:ascii="黑体" w:eastAsia="黑体" w:hAnsi="黑体"/>
          <w:sz w:val="32"/>
          <w:szCs w:val="32"/>
        </w:rPr>
      </w:pPr>
      <w:bookmarkStart w:id="22" w:name="BookMark4"/>
      <w:bookmarkEnd w:id="21"/>
    </w:p>
    <w:p w:rsidR="000403C9" w:rsidRDefault="000403C9">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E23F814EDE404D8BB88194F4B4A32A23"/>
        </w:placeholder>
      </w:sdtPr>
      <w:sdtEndPr/>
      <w:sdtContent>
        <w:p w:rsidR="000403C9" w:rsidRDefault="00F8386B" w:rsidP="00D505FB">
          <w:pPr>
            <w:pStyle w:val="afffffffff8"/>
            <w:spacing w:beforeLines="1" w:before="3" w:afterLines="220" w:after="686"/>
          </w:pPr>
          <w:r>
            <w:rPr>
              <w:rFonts w:hint="eastAsia"/>
            </w:rPr>
            <w:t>废弃鱼塘垦造藕田建设规范</w:t>
          </w:r>
        </w:p>
      </w:sdtContent>
    </w:sdt>
    <w:p w:rsidR="000403C9" w:rsidRDefault="00F8386B">
      <w:pPr>
        <w:pStyle w:val="affc"/>
        <w:spacing w:before="312" w:after="312"/>
      </w:pPr>
      <w:bookmarkStart w:id="24" w:name="_Toc26986771"/>
      <w:bookmarkStart w:id="25" w:name="_Toc26718930"/>
      <w:bookmarkStart w:id="26" w:name="_Toc24884218"/>
      <w:bookmarkStart w:id="27" w:name="_Toc24884211"/>
      <w:bookmarkStart w:id="28" w:name="_Toc17233325"/>
      <w:bookmarkStart w:id="29" w:name="_Toc26648465"/>
      <w:bookmarkStart w:id="30" w:name="_Toc17233333"/>
      <w:bookmarkStart w:id="31" w:name="_Toc26986530"/>
      <w:bookmarkEnd w:id="23"/>
      <w:r>
        <w:rPr>
          <w:rFonts w:hint="eastAsia"/>
        </w:rPr>
        <w:t>范围</w:t>
      </w:r>
      <w:bookmarkEnd w:id="24"/>
      <w:bookmarkEnd w:id="25"/>
      <w:bookmarkEnd w:id="26"/>
      <w:bookmarkEnd w:id="27"/>
      <w:bookmarkEnd w:id="28"/>
      <w:bookmarkEnd w:id="29"/>
      <w:bookmarkEnd w:id="30"/>
      <w:bookmarkEnd w:id="31"/>
    </w:p>
    <w:p w:rsidR="00D505FB" w:rsidRDefault="00F8386B">
      <w:pPr>
        <w:pStyle w:val="afffff5"/>
        <w:ind w:firstLine="420"/>
      </w:pPr>
      <w:bookmarkStart w:id="32" w:name="_Toc26648466"/>
      <w:bookmarkStart w:id="33" w:name="_Toc24884212"/>
      <w:bookmarkStart w:id="34" w:name="_Toc17233334"/>
      <w:bookmarkStart w:id="35" w:name="_Toc17233326"/>
      <w:bookmarkStart w:id="36" w:name="_Toc24884219"/>
      <w:r>
        <w:rPr>
          <w:rFonts w:hint="eastAsia"/>
        </w:rPr>
        <w:t>本文件规定了废弃鱼塘垦造</w:t>
      </w:r>
      <w:r w:rsidR="00D505FB">
        <w:rPr>
          <w:rFonts w:hint="eastAsia"/>
        </w:rPr>
        <w:t>藕田建设的术语和定义、建设条件、建设要求与田间工程等方面的内容。</w:t>
      </w:r>
    </w:p>
    <w:p w:rsidR="000403C9" w:rsidRDefault="00F8386B">
      <w:pPr>
        <w:pStyle w:val="afffff5"/>
        <w:ind w:firstLine="420"/>
      </w:pPr>
      <w:r>
        <w:rPr>
          <w:rFonts w:hint="eastAsia"/>
        </w:rPr>
        <w:t>本文件适用于泰安市垦造藕田的建设，重点为废弃鱼塘和坑塘等用地改造为藕田。</w:t>
      </w:r>
    </w:p>
    <w:p w:rsidR="000403C9" w:rsidRDefault="00F8386B">
      <w:pPr>
        <w:pStyle w:val="affc"/>
        <w:spacing w:before="312" w:after="312"/>
      </w:pPr>
      <w:bookmarkStart w:id="37" w:name="_Toc26718931"/>
      <w:bookmarkStart w:id="38" w:name="_Toc26986772"/>
      <w:bookmarkStart w:id="39" w:name="_Toc269865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B4E535C94B954AE7A04E40C122F5726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403C9" w:rsidRDefault="00F8386B">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403C9" w:rsidRDefault="00F8386B">
      <w:pPr>
        <w:pStyle w:val="afffff5"/>
        <w:ind w:firstLine="420"/>
      </w:pPr>
      <w:r>
        <w:rPr>
          <w:rFonts w:hint="eastAsia"/>
        </w:rPr>
        <w:t>GB/T 30600-2014 高标准农田建设通则</w:t>
      </w:r>
    </w:p>
    <w:p w:rsidR="000403C9" w:rsidRDefault="00F8386B">
      <w:pPr>
        <w:pStyle w:val="afffff5"/>
        <w:ind w:firstLine="420"/>
      </w:pPr>
      <w:r>
        <w:rPr>
          <w:rFonts w:hint="eastAsia"/>
        </w:rPr>
        <w:t>GB 5084-2021农田灌溉水质标准</w:t>
      </w:r>
    </w:p>
    <w:p w:rsidR="000403C9" w:rsidRDefault="00F8386B">
      <w:pPr>
        <w:pStyle w:val="afffff5"/>
        <w:ind w:firstLine="420"/>
      </w:pPr>
      <w:r>
        <w:rPr>
          <w:rFonts w:hint="eastAsia"/>
        </w:rPr>
        <w:t>GB 50288-2018 灌溉与排水工程设计标准</w:t>
      </w:r>
    </w:p>
    <w:p w:rsidR="000403C9" w:rsidRDefault="00F8386B">
      <w:pPr>
        <w:pStyle w:val="afffff5"/>
        <w:ind w:firstLine="420"/>
      </w:pPr>
      <w:r>
        <w:rPr>
          <w:rFonts w:hint="eastAsia"/>
        </w:rPr>
        <w:t>GB/T 50363-2018 节水灌溉工程技术标准</w:t>
      </w:r>
    </w:p>
    <w:p w:rsidR="000403C9" w:rsidRDefault="00F8386B">
      <w:pPr>
        <w:pStyle w:val="afffff5"/>
        <w:ind w:firstLine="420"/>
      </w:pPr>
      <w:r>
        <w:rPr>
          <w:rFonts w:hint="eastAsia"/>
        </w:rPr>
        <w:t>GB 50265-2010 泵站设计规范</w:t>
      </w:r>
    </w:p>
    <w:p w:rsidR="000403C9" w:rsidRDefault="00F8386B">
      <w:pPr>
        <w:pStyle w:val="afffff5"/>
        <w:ind w:firstLine="420"/>
      </w:pPr>
      <w:r>
        <w:rPr>
          <w:rFonts w:hint="eastAsia"/>
        </w:rPr>
        <w:t>GB 15618-2018 土壤环境质量 农用地土壤污染风险管控标准（试行）</w:t>
      </w:r>
    </w:p>
    <w:p w:rsidR="000403C9" w:rsidRDefault="00F8386B">
      <w:pPr>
        <w:pStyle w:val="afffff5"/>
        <w:ind w:firstLine="420"/>
      </w:pPr>
      <w:r>
        <w:rPr>
          <w:rFonts w:hint="eastAsia"/>
        </w:rPr>
        <w:t>NY/T 2148-2012 高标准农田建设标准</w:t>
      </w:r>
    </w:p>
    <w:p w:rsidR="000403C9" w:rsidRDefault="00F8386B">
      <w:pPr>
        <w:pStyle w:val="afffff5"/>
        <w:ind w:firstLine="420"/>
      </w:pPr>
      <w:r>
        <w:rPr>
          <w:rFonts w:hint="eastAsia"/>
        </w:rPr>
        <w:t>TD/T 1013-2013 土地整治项目验收规程</w:t>
      </w:r>
    </w:p>
    <w:p w:rsidR="000403C9" w:rsidRDefault="00F8386B">
      <w:pPr>
        <w:pStyle w:val="afffff5"/>
        <w:ind w:firstLine="420"/>
      </w:pPr>
      <w:r>
        <w:rPr>
          <w:rFonts w:hint="eastAsia"/>
        </w:rPr>
        <w:t>DB37/T 2323-2013 山东省《高标准农田质量标准》</w:t>
      </w:r>
    </w:p>
    <w:p w:rsidR="000403C9" w:rsidRDefault="00F8386B">
      <w:pPr>
        <w:pStyle w:val="affc"/>
        <w:spacing w:before="312" w:after="312"/>
      </w:pPr>
      <w:r>
        <w:rPr>
          <w:rFonts w:hint="eastAsia"/>
        </w:rPr>
        <w:t>术语和定义</w:t>
      </w:r>
    </w:p>
    <w:bookmarkStart w:id="40" w:name="_Toc26986532" w:displacedByCustomXml="next"/>
    <w:bookmarkEnd w:id="40" w:displacedByCustomXml="next"/>
    <w:sdt>
      <w:sdtPr>
        <w:rPr>
          <w:rFonts w:hint="eastAsia"/>
        </w:rPr>
        <w:id w:val="-1909835108"/>
        <w:placeholder>
          <w:docPart w:val="04D8668C538445BDBA56178B6F676AD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403C9" w:rsidRDefault="00F8386B">
          <w:pPr>
            <w:pStyle w:val="afffff5"/>
            <w:ind w:firstLine="420"/>
          </w:pPr>
          <w:r>
            <w:rPr>
              <w:rFonts w:hint="eastAsia"/>
            </w:rPr>
            <w:t>下列术语和定义适用于本文件。</w:t>
          </w:r>
        </w:p>
      </w:sdtContent>
    </w:sdt>
    <w:p w:rsidR="000403C9" w:rsidRDefault="00F8386B" w:rsidP="00D505FB">
      <w:pPr>
        <w:pStyle w:val="affffffffe"/>
      </w:pPr>
      <w:r>
        <w:rPr>
          <w:rFonts w:hint="eastAsia"/>
        </w:rPr>
        <w:t>鱼塘（fishpond）：指捕鱼或养鱼的地方，特指放养鱼类或用于水产养殖的受控池塘。</w:t>
      </w:r>
    </w:p>
    <w:p w:rsidR="000403C9" w:rsidRDefault="00F8386B" w:rsidP="00D505FB">
      <w:pPr>
        <w:pStyle w:val="affffffffe"/>
      </w:pPr>
      <w:r>
        <w:rPr>
          <w:rFonts w:hint="eastAsia"/>
        </w:rPr>
        <w:t>废弃鱼塘（abandoned fishpond）：抛弃不用的鱼塘。</w:t>
      </w:r>
    </w:p>
    <w:p w:rsidR="000403C9" w:rsidRDefault="00F8386B" w:rsidP="00D505FB">
      <w:pPr>
        <w:pStyle w:val="affffffffe"/>
      </w:pPr>
      <w:r>
        <w:rPr>
          <w:rFonts w:hint="eastAsia"/>
        </w:rPr>
        <w:t>藕田（lotus field）：指用于种植水生农作物莲藕的耕地，属于水田的范畴。</w:t>
      </w:r>
    </w:p>
    <w:p w:rsidR="000403C9" w:rsidRDefault="00F8386B" w:rsidP="00D505FB">
      <w:pPr>
        <w:pStyle w:val="affffffffe"/>
      </w:pPr>
      <w:r>
        <w:rPr>
          <w:rFonts w:hint="eastAsia"/>
        </w:rPr>
        <w:t>土地平整工程（land levelling project）：指为满足农田耕作、灌排的需要，以及一定的肥力条件而进行的田块修筑和地力保持措施。包括耕作田块修筑工程、防渗保水工程和耕作层保护工程。</w:t>
      </w:r>
    </w:p>
    <w:p w:rsidR="000403C9" w:rsidRDefault="00F8386B" w:rsidP="00D505FB">
      <w:pPr>
        <w:pStyle w:val="affffffffe"/>
      </w:pPr>
      <w:r>
        <w:rPr>
          <w:rFonts w:hint="eastAsia"/>
        </w:rPr>
        <w:t>田间防渗工程（field seepage control project）：为了控制藕田日渗漏量而采取的工程技术措施。农田防渗工程效果，以灌水后田面保持田面水不落干的天数进行评价。</w:t>
      </w:r>
    </w:p>
    <w:p w:rsidR="000403C9" w:rsidRDefault="00F8386B">
      <w:pPr>
        <w:pStyle w:val="affc"/>
        <w:spacing w:before="312" w:after="312"/>
      </w:pPr>
      <w:r>
        <w:rPr>
          <w:rFonts w:hint="eastAsia"/>
        </w:rPr>
        <w:t>建设条件</w:t>
      </w:r>
    </w:p>
    <w:p w:rsidR="000403C9" w:rsidRDefault="00F8386B">
      <w:pPr>
        <w:pStyle w:val="affd"/>
        <w:spacing w:before="156" w:after="156"/>
      </w:pPr>
      <w:r>
        <w:rPr>
          <w:rFonts w:hint="eastAsia"/>
        </w:rPr>
        <w:t>基础条件</w:t>
      </w:r>
    </w:p>
    <w:p w:rsidR="000403C9" w:rsidRDefault="00F8386B" w:rsidP="00D505FB">
      <w:pPr>
        <w:pStyle w:val="afffffffff1"/>
      </w:pPr>
      <w:r>
        <w:rPr>
          <w:rFonts w:hint="eastAsia"/>
        </w:rPr>
        <w:t>符合国家、山东省和泰安市自然资源、农业、水利、生态环境等部门的有关规定。</w:t>
      </w:r>
    </w:p>
    <w:p w:rsidR="000403C9" w:rsidRDefault="00F8386B" w:rsidP="00D505FB">
      <w:pPr>
        <w:pStyle w:val="afffffffff1"/>
      </w:pPr>
      <w:r>
        <w:rPr>
          <w:rFonts w:hint="eastAsia"/>
        </w:rPr>
        <w:t>水资源有保障，水质符合农田灌溉标准，土壤适合莲藕生长，无潜在土壤污染和地质灾害。</w:t>
      </w:r>
    </w:p>
    <w:p w:rsidR="000403C9" w:rsidRDefault="00F8386B" w:rsidP="00D505FB">
      <w:pPr>
        <w:pStyle w:val="afffffffff1"/>
      </w:pPr>
      <w:r>
        <w:rPr>
          <w:rFonts w:hint="eastAsia"/>
        </w:rPr>
        <w:t>具备建设所必需的水利、交通、电力等骨干基础设施。</w:t>
      </w:r>
    </w:p>
    <w:p w:rsidR="000403C9" w:rsidRDefault="00F8386B" w:rsidP="00D505FB">
      <w:pPr>
        <w:pStyle w:val="afffffffff1"/>
      </w:pPr>
      <w:r>
        <w:rPr>
          <w:rFonts w:hint="eastAsia"/>
        </w:rPr>
        <w:lastRenderedPageBreak/>
        <w:t>当地农村集体经济组织和农民群众积极性高。</w:t>
      </w:r>
    </w:p>
    <w:p w:rsidR="000403C9" w:rsidRDefault="00F8386B">
      <w:pPr>
        <w:pStyle w:val="affd"/>
        <w:spacing w:before="156" w:after="156"/>
      </w:pPr>
      <w:r>
        <w:rPr>
          <w:rFonts w:hint="eastAsia"/>
        </w:rPr>
        <w:t>建设区域</w:t>
      </w:r>
    </w:p>
    <w:p w:rsidR="000403C9" w:rsidRDefault="00F8386B">
      <w:pPr>
        <w:pStyle w:val="affe"/>
        <w:spacing w:before="156" w:after="156"/>
      </w:pPr>
      <w:r>
        <w:rPr>
          <w:rFonts w:hint="eastAsia"/>
        </w:rPr>
        <w:t>重点区域</w:t>
      </w:r>
    </w:p>
    <w:p w:rsidR="000403C9" w:rsidRDefault="00F8386B" w:rsidP="00864904">
      <w:pPr>
        <w:pStyle w:val="afffffffff0"/>
      </w:pPr>
      <w:r>
        <w:rPr>
          <w:rFonts w:hint="eastAsia"/>
        </w:rPr>
        <w:t>沿河、湖水源充足的废弃鱼塘、坑塘，经过工程和生物措施，能满足莲藕正常生长的区域。</w:t>
      </w:r>
    </w:p>
    <w:p w:rsidR="000403C9" w:rsidRDefault="00F8386B" w:rsidP="00864904">
      <w:pPr>
        <w:pStyle w:val="afffffffff0"/>
      </w:pPr>
      <w:r>
        <w:rPr>
          <w:rFonts w:hint="eastAsia"/>
        </w:rPr>
        <w:t>与周围已有水田、藕田集中连片，达到一定建设规模的区域。</w:t>
      </w:r>
    </w:p>
    <w:p w:rsidR="000403C9" w:rsidRDefault="00F8386B" w:rsidP="00864904">
      <w:pPr>
        <w:pStyle w:val="afffffffff0"/>
      </w:pPr>
      <w:r>
        <w:rPr>
          <w:rFonts w:hint="eastAsia"/>
        </w:rPr>
        <w:t>土地利用总体规划、土地整治规划确定的土地整治重点区域。</w:t>
      </w:r>
    </w:p>
    <w:p w:rsidR="000403C9" w:rsidRDefault="00F8386B">
      <w:pPr>
        <w:pStyle w:val="affe"/>
        <w:spacing w:before="156" w:after="156"/>
      </w:pPr>
      <w:r>
        <w:rPr>
          <w:rFonts w:hint="eastAsia"/>
        </w:rPr>
        <w:t>禁止建设区域</w:t>
      </w:r>
    </w:p>
    <w:p w:rsidR="000403C9" w:rsidRDefault="00F8386B" w:rsidP="00864904">
      <w:pPr>
        <w:pStyle w:val="afffffffff0"/>
      </w:pPr>
      <w:r>
        <w:rPr>
          <w:rFonts w:hint="eastAsia"/>
        </w:rPr>
        <w:t>地形坡度大于25°的区域；</w:t>
      </w:r>
    </w:p>
    <w:p w:rsidR="000403C9" w:rsidRDefault="00F8386B" w:rsidP="00864904">
      <w:pPr>
        <w:pStyle w:val="afffffffff0"/>
      </w:pPr>
      <w:r>
        <w:rPr>
          <w:rFonts w:hint="eastAsia"/>
        </w:rPr>
        <w:t>水源无法保障的区域；</w:t>
      </w:r>
    </w:p>
    <w:p w:rsidR="000403C9" w:rsidRDefault="00F8386B" w:rsidP="00864904">
      <w:pPr>
        <w:pStyle w:val="afffffffff0"/>
      </w:pPr>
      <w:r>
        <w:rPr>
          <w:rFonts w:hint="eastAsia"/>
        </w:rPr>
        <w:t>土壤改善后仍不适合种植莲藕的区域；</w:t>
      </w:r>
    </w:p>
    <w:p w:rsidR="000403C9" w:rsidRDefault="00F8386B" w:rsidP="00864904">
      <w:pPr>
        <w:pStyle w:val="afffffffff0"/>
      </w:pPr>
      <w:r>
        <w:rPr>
          <w:rFonts w:hint="eastAsia"/>
        </w:rPr>
        <w:t>水土流失易发区等生态脆弱区域；</w:t>
      </w:r>
    </w:p>
    <w:p w:rsidR="000403C9" w:rsidRDefault="00F8386B" w:rsidP="00864904">
      <w:pPr>
        <w:pStyle w:val="afffffffff0"/>
      </w:pPr>
      <w:r>
        <w:rPr>
          <w:rFonts w:hint="eastAsia"/>
        </w:rPr>
        <w:t>污染严重难以恢复的区域；</w:t>
      </w:r>
    </w:p>
    <w:p w:rsidR="000403C9" w:rsidRDefault="00F8386B" w:rsidP="00864904">
      <w:pPr>
        <w:pStyle w:val="afffffffff0"/>
      </w:pPr>
      <w:r>
        <w:rPr>
          <w:rFonts w:hint="eastAsia"/>
        </w:rPr>
        <w:t>易受自然灾害损毁的区域；</w:t>
      </w:r>
    </w:p>
    <w:p w:rsidR="000403C9" w:rsidRDefault="00F8386B" w:rsidP="00864904">
      <w:pPr>
        <w:pStyle w:val="afffffffff0"/>
      </w:pPr>
      <w:r>
        <w:rPr>
          <w:rFonts w:hint="eastAsia"/>
        </w:rPr>
        <w:t>其他法律法规规定不得开垦的区域。</w:t>
      </w:r>
    </w:p>
    <w:p w:rsidR="000403C9" w:rsidRDefault="00F8386B">
      <w:pPr>
        <w:pStyle w:val="affc"/>
        <w:spacing w:before="312" w:after="312"/>
      </w:pPr>
      <w:r>
        <w:rPr>
          <w:rFonts w:hint="eastAsia"/>
        </w:rPr>
        <w:t>建设要求</w:t>
      </w:r>
    </w:p>
    <w:p w:rsidR="000403C9" w:rsidRDefault="00F8386B" w:rsidP="00D04E30">
      <w:pPr>
        <w:pStyle w:val="affffffffe"/>
      </w:pPr>
      <w:r>
        <w:rPr>
          <w:rFonts w:hint="eastAsia"/>
        </w:rPr>
        <w:t>垦造藕田包括土地平整、灌溉与排水、田间道路、农田防护与生态环境保持、农田输配电以及其他工程。工程技术要求</w:t>
      </w:r>
      <w:r w:rsidR="004B36F4">
        <w:rPr>
          <w:rFonts w:hint="eastAsia"/>
        </w:rPr>
        <w:t>应符合</w:t>
      </w:r>
      <w:r>
        <w:rPr>
          <w:rFonts w:hint="eastAsia"/>
        </w:rPr>
        <w:t>GB/T 30600 -2014、DB37/T 2323-2013等</w:t>
      </w:r>
      <w:r w:rsidR="004B36F4">
        <w:rPr>
          <w:rFonts w:hint="eastAsia"/>
        </w:rPr>
        <w:t>的规定</w:t>
      </w:r>
      <w:r>
        <w:rPr>
          <w:rFonts w:hint="eastAsia"/>
        </w:rPr>
        <w:t>。</w:t>
      </w:r>
    </w:p>
    <w:p w:rsidR="000403C9" w:rsidRDefault="00F8386B" w:rsidP="00D04E30">
      <w:pPr>
        <w:pStyle w:val="affffffffe"/>
      </w:pPr>
      <w:r>
        <w:rPr>
          <w:rFonts w:hint="eastAsia"/>
        </w:rPr>
        <w:t>建成后的藕田耕作层有机质含量和耕层厚度不得低于建成前。</w:t>
      </w:r>
    </w:p>
    <w:p w:rsidR="000403C9" w:rsidRDefault="00F8386B" w:rsidP="00D04E30">
      <w:pPr>
        <w:pStyle w:val="affffffffe"/>
      </w:pPr>
      <w:r>
        <w:rPr>
          <w:rFonts w:hint="eastAsia"/>
        </w:rPr>
        <w:t>垦造藕田项目区田间基础设施占地率符合GB/T 30600-2014中6.1.4的确定。</w:t>
      </w:r>
    </w:p>
    <w:p w:rsidR="000403C9" w:rsidRDefault="00F8386B" w:rsidP="00D04E30">
      <w:pPr>
        <w:pStyle w:val="affffffffe"/>
      </w:pPr>
      <w:r>
        <w:rPr>
          <w:rFonts w:hint="eastAsia"/>
        </w:rPr>
        <w:t>垦造藕田项目区的基础设施工程质量保证年限符合GB/T 30600-2014中6.1.</w:t>
      </w:r>
      <w:r>
        <w:t>5</w:t>
      </w:r>
      <w:r>
        <w:rPr>
          <w:rFonts w:hint="eastAsia"/>
        </w:rPr>
        <w:t>的确定。</w:t>
      </w:r>
    </w:p>
    <w:p w:rsidR="000403C9" w:rsidRDefault="00F8386B">
      <w:pPr>
        <w:pStyle w:val="affc"/>
        <w:spacing w:before="312" w:after="312"/>
      </w:pPr>
      <w:r>
        <w:rPr>
          <w:rFonts w:hint="eastAsia"/>
        </w:rPr>
        <w:t>田间工程</w:t>
      </w:r>
    </w:p>
    <w:p w:rsidR="000403C9" w:rsidRDefault="00F8386B">
      <w:pPr>
        <w:pStyle w:val="afffff5"/>
        <w:ind w:firstLine="420"/>
      </w:pPr>
      <w:r>
        <w:rPr>
          <w:rFonts w:hint="eastAsia"/>
        </w:rPr>
        <w:t>田间工程主要包括土地平整工程、农田水利工程、田间道路工程及农田防护林工程等内容。</w:t>
      </w:r>
    </w:p>
    <w:p w:rsidR="000403C9" w:rsidRDefault="00F8386B">
      <w:pPr>
        <w:pStyle w:val="affd"/>
        <w:spacing w:before="156" w:after="156"/>
      </w:pPr>
      <w:r>
        <w:rPr>
          <w:rFonts w:hint="eastAsia"/>
        </w:rPr>
        <w:t>土地平整工程</w:t>
      </w:r>
    </w:p>
    <w:p w:rsidR="000403C9" w:rsidRDefault="00F8386B">
      <w:pPr>
        <w:pStyle w:val="afffff5"/>
        <w:ind w:firstLine="420"/>
      </w:pPr>
      <w:r>
        <w:rPr>
          <w:rFonts w:hint="eastAsia"/>
        </w:rPr>
        <w:t>包括耕作田块修筑工程和耕作层地力保持工程。</w:t>
      </w:r>
    </w:p>
    <w:p w:rsidR="000403C9" w:rsidRDefault="00F8386B">
      <w:pPr>
        <w:pStyle w:val="affe"/>
        <w:spacing w:before="156" w:after="156"/>
      </w:pPr>
      <w:r>
        <w:rPr>
          <w:rFonts w:hint="eastAsia"/>
        </w:rPr>
        <w:t>耕作田块修筑工程</w:t>
      </w:r>
    </w:p>
    <w:p w:rsidR="000403C9" w:rsidRDefault="00F8386B" w:rsidP="00460501">
      <w:pPr>
        <w:pStyle w:val="afff"/>
        <w:spacing w:before="156" w:after="156"/>
      </w:pPr>
      <w:r>
        <w:rPr>
          <w:rFonts w:hint="eastAsia"/>
        </w:rPr>
        <w:t>田块调整</w:t>
      </w:r>
    </w:p>
    <w:p w:rsidR="000403C9" w:rsidRDefault="00F8386B" w:rsidP="00460501">
      <w:pPr>
        <w:pStyle w:val="afffffffff3"/>
      </w:pPr>
      <w:r>
        <w:rPr>
          <w:rFonts w:hint="eastAsia"/>
        </w:rPr>
        <w:t>田块的边界应结合现有沟、渠、路、林及其他自然界线，不能机械划分，做到既不影响机械作业，又不浪费土地，将大小或形状不符合标准要求的田块进行合并或调整。</w:t>
      </w:r>
    </w:p>
    <w:p w:rsidR="000403C9" w:rsidRDefault="00F8386B" w:rsidP="00460501">
      <w:pPr>
        <w:pStyle w:val="afffffffff3"/>
      </w:pPr>
      <w:r>
        <w:rPr>
          <w:rFonts w:hint="eastAsia"/>
        </w:rPr>
        <w:t>调整后的长度和宽度应满足种植、经营、作业、节水、节能等农业科技的应用。平原地区田块长度</w:t>
      </w:r>
      <w:r w:rsidR="00D06FA0" w:rsidRPr="00995739">
        <w:rPr>
          <w:rFonts w:hint="eastAsia"/>
        </w:rPr>
        <w:t>不小于</w:t>
      </w:r>
      <w:r>
        <w:rPr>
          <w:rFonts w:hint="eastAsia"/>
        </w:rPr>
        <w:t>30m，宽度</w:t>
      </w:r>
      <w:r w:rsidR="00D06FA0" w:rsidRPr="00995739">
        <w:rPr>
          <w:rFonts w:hint="eastAsia"/>
        </w:rPr>
        <w:t>不小于</w:t>
      </w:r>
      <w:r>
        <w:rPr>
          <w:rFonts w:hint="eastAsia"/>
        </w:rPr>
        <w:t>7m，连片规模（或与周边原有水田连片面积）因地制宜，以不小于10亩为宜。</w:t>
      </w:r>
    </w:p>
    <w:p w:rsidR="000403C9" w:rsidRPr="00D06FA0" w:rsidRDefault="00D06FA0" w:rsidP="00460501">
      <w:pPr>
        <w:pStyle w:val="afffffffff3"/>
      </w:pPr>
      <w:r w:rsidRPr="00D06FA0">
        <w:rPr>
          <w:rFonts w:hint="eastAsia"/>
        </w:rPr>
        <w:t>田块方向以南北方向为宜，与主害风夹角大于60°</w:t>
      </w:r>
      <w:r w:rsidR="00F8386B" w:rsidRPr="00D06FA0">
        <w:rPr>
          <w:rFonts w:hint="eastAsia"/>
        </w:rPr>
        <w:t>。</w:t>
      </w:r>
    </w:p>
    <w:p w:rsidR="000403C9" w:rsidRDefault="00F8386B" w:rsidP="00460501">
      <w:pPr>
        <w:pStyle w:val="afff"/>
        <w:spacing w:before="156" w:after="156"/>
      </w:pPr>
      <w:r>
        <w:rPr>
          <w:rFonts w:hint="eastAsia"/>
        </w:rPr>
        <w:lastRenderedPageBreak/>
        <w:t>田面整理</w:t>
      </w:r>
    </w:p>
    <w:p w:rsidR="000403C9" w:rsidRPr="00995739" w:rsidRDefault="00F8386B">
      <w:pPr>
        <w:pStyle w:val="afffff5"/>
        <w:ind w:firstLine="420"/>
      </w:pPr>
      <w:r>
        <w:rPr>
          <w:rFonts w:hint="eastAsia"/>
        </w:rPr>
        <w:t>藕田深度宜在1.5</w:t>
      </w:r>
      <w:r w:rsidR="00D06FA0">
        <w:rPr>
          <w:rFonts w:hint="eastAsia"/>
        </w:rPr>
        <w:t>m-2.5</w:t>
      </w:r>
      <w:r>
        <w:rPr>
          <w:rFonts w:hint="eastAsia"/>
        </w:rPr>
        <w:t>m，采用挖浅垫深的方式将废弃鱼塘和坑塘调整到适宜深度。塘底平整后，田面平整度和地表坡降应符合NY/T 2148-2012</w:t>
      </w:r>
      <w:r w:rsidRPr="00995739">
        <w:rPr>
          <w:rFonts w:hint="eastAsia"/>
        </w:rPr>
        <w:t>中7</w:t>
      </w:r>
      <w:r w:rsidRPr="00995739">
        <w:t>.1.3</w:t>
      </w:r>
      <w:r w:rsidRPr="00995739">
        <w:rPr>
          <w:rFonts w:hint="eastAsia"/>
        </w:rPr>
        <w:t>的规定。</w:t>
      </w:r>
    </w:p>
    <w:p w:rsidR="000403C9" w:rsidRDefault="00F8386B" w:rsidP="00460501">
      <w:pPr>
        <w:pStyle w:val="afff"/>
        <w:spacing w:before="156" w:after="156"/>
      </w:pPr>
      <w:r>
        <w:rPr>
          <w:rFonts w:hint="eastAsia"/>
        </w:rPr>
        <w:t>藕池砌筑</w:t>
      </w:r>
    </w:p>
    <w:p w:rsidR="000403C9" w:rsidRDefault="00F8386B" w:rsidP="00460501">
      <w:pPr>
        <w:pStyle w:val="afffffffff3"/>
      </w:pPr>
      <w:r>
        <w:rPr>
          <w:rFonts w:hint="eastAsia"/>
        </w:rPr>
        <w:t>池底田面用机械轮子压实或用夯机夯实。</w:t>
      </w:r>
    </w:p>
    <w:p w:rsidR="000403C9" w:rsidRDefault="00F8386B" w:rsidP="00460501">
      <w:pPr>
        <w:pStyle w:val="afffffffff3"/>
      </w:pPr>
      <w:r>
        <w:rPr>
          <w:rFonts w:hint="eastAsia"/>
        </w:rPr>
        <w:t>池壁应因地制宜利用砖、石、混凝土、土体等材料进行筑砌。在与池底交界处修建齿墙。边坡宜先用碎石垫层（</w:t>
      </w:r>
      <w:r w:rsidR="00995739">
        <w:rPr>
          <w:rFonts w:hint="eastAsia"/>
        </w:rPr>
        <w:t>小于10</w:t>
      </w:r>
      <w:r>
        <w:rPr>
          <w:rFonts w:hint="eastAsia"/>
        </w:rPr>
        <w:t>cm）后进行修整夯实,坡度以45°-65°为宜，并于池壁上修筑生产阶梯。</w:t>
      </w:r>
    </w:p>
    <w:p w:rsidR="000403C9" w:rsidRDefault="00F8386B" w:rsidP="00460501">
      <w:pPr>
        <w:pStyle w:val="afffffffff3"/>
      </w:pPr>
      <w:r>
        <w:rPr>
          <w:rFonts w:hint="eastAsia"/>
        </w:rPr>
        <w:t>田块之间以田埂为界，埂高20</w:t>
      </w:r>
      <w:r w:rsidR="00AC06E0">
        <w:t>cm</w:t>
      </w:r>
      <w:r w:rsidR="00AC06E0">
        <w:rPr>
          <w:rFonts w:hint="eastAsia"/>
        </w:rPr>
        <w:t>-50</w:t>
      </w:r>
      <w:r>
        <w:rPr>
          <w:rFonts w:hint="eastAsia"/>
        </w:rPr>
        <w:t>cm，埂顶宽</w:t>
      </w:r>
      <w:r w:rsidR="00AC06E0">
        <w:rPr>
          <w:rFonts w:hint="eastAsia"/>
        </w:rPr>
        <w:t>20</w:t>
      </w:r>
      <w:r w:rsidR="00AC06E0">
        <w:t>cm</w:t>
      </w:r>
      <w:r w:rsidR="00AC06E0">
        <w:rPr>
          <w:rFonts w:hint="eastAsia"/>
        </w:rPr>
        <w:t>-50</w:t>
      </w:r>
      <w:r>
        <w:rPr>
          <w:rFonts w:hint="eastAsia"/>
        </w:rPr>
        <w:t>cm为宜。</w:t>
      </w:r>
    </w:p>
    <w:p w:rsidR="000403C9" w:rsidRDefault="00F8386B" w:rsidP="00460501">
      <w:pPr>
        <w:pStyle w:val="afffffffff3"/>
      </w:pPr>
      <w:r>
        <w:rPr>
          <w:rFonts w:hint="eastAsia"/>
        </w:rPr>
        <w:t>标准藕池修筑平面示意图见附录A。</w:t>
      </w:r>
    </w:p>
    <w:p w:rsidR="000403C9" w:rsidRDefault="00F8386B" w:rsidP="00460501">
      <w:pPr>
        <w:pStyle w:val="afff"/>
        <w:spacing w:before="156" w:after="156"/>
      </w:pPr>
      <w:r>
        <w:rPr>
          <w:rFonts w:hint="eastAsia"/>
        </w:rPr>
        <w:t>田间防渗工程</w:t>
      </w:r>
    </w:p>
    <w:p w:rsidR="00471462" w:rsidRPr="00471462" w:rsidRDefault="00471462">
      <w:pPr>
        <w:pStyle w:val="afffff5"/>
        <w:ind w:firstLine="420"/>
      </w:pPr>
      <w:r w:rsidRPr="00471462">
        <w:rPr>
          <w:rFonts w:hint="eastAsia"/>
        </w:rPr>
        <w:t>干旱时一次性灌水后田面保持水不落干的天数应不低于72小时。</w:t>
      </w:r>
    </w:p>
    <w:p w:rsidR="00471462" w:rsidRPr="00471462" w:rsidRDefault="00471462">
      <w:pPr>
        <w:pStyle w:val="afffff5"/>
        <w:ind w:firstLine="420"/>
      </w:pPr>
      <w:r w:rsidRPr="00471462">
        <w:rPr>
          <w:rFonts w:hint="eastAsia"/>
        </w:rPr>
        <w:t>若田块蓄水能力小于72小时，需实施防渗工程。实施田间防渗工程要严格执行耕作层再利用，首先将耕作层剥离，再对剥离后的田面进行夯实，进行防渗处理，达到防渗要求后，将剥离后的表土回填。</w:t>
      </w:r>
    </w:p>
    <w:p w:rsidR="000403C9" w:rsidRDefault="00F8386B">
      <w:pPr>
        <w:pStyle w:val="affe"/>
        <w:spacing w:before="156" w:after="156"/>
        <w:rPr>
          <w:snapToGrid w:val="0"/>
        </w:rPr>
      </w:pPr>
      <w:r>
        <w:rPr>
          <w:rFonts w:hint="eastAsia"/>
          <w:snapToGrid w:val="0"/>
        </w:rPr>
        <w:t>耕作层地力保持工程</w:t>
      </w:r>
    </w:p>
    <w:p w:rsidR="000403C9" w:rsidRDefault="00F8386B" w:rsidP="00471462">
      <w:pPr>
        <w:pStyle w:val="afffffffff0"/>
      </w:pPr>
      <w:r>
        <w:rPr>
          <w:rFonts w:hint="eastAsia"/>
        </w:rPr>
        <w:t>耕作土壤剖面一般分为耕作层、犁底层、心土层和底土层。土地平整时应避免打乱耕作层，确需打乱应先将肥沃的耕作层进行剥离，单独堆放，待土地平整完成后，再将表土均匀摊铺在田面上。</w:t>
      </w:r>
    </w:p>
    <w:p w:rsidR="000403C9" w:rsidRDefault="00F8386B" w:rsidP="00471462">
      <w:pPr>
        <w:pStyle w:val="afffffffff0"/>
      </w:pPr>
      <w:r>
        <w:rPr>
          <w:rFonts w:hint="eastAsia"/>
        </w:rPr>
        <w:t>藕田土壤以砂质壤土至粘土为宜，重金属含量应符合《土壤环境质量 农用地土壤污染风险管控标准（试行）》（GB 15618-2018）。耕作层厚度根据莲藕品种及种植层数进行调整，</w:t>
      </w:r>
      <w:r w:rsidRPr="00FD5024">
        <w:rPr>
          <w:rFonts w:hint="eastAsia"/>
        </w:rPr>
        <w:t>符合NY/T 2148-2012附录F.1中平原灌溉类型区和山地丘陵类型区的规定。</w:t>
      </w:r>
      <w:r>
        <w:rPr>
          <w:rFonts w:hint="eastAsia"/>
        </w:rPr>
        <w:t>耕作层土壤酸碱度和有机质水平应符合NY/T 2148-2012</w:t>
      </w:r>
      <w:r w:rsidRPr="00FD5024">
        <w:rPr>
          <w:rFonts w:hint="eastAsia"/>
        </w:rPr>
        <w:t>中附录G.1</w:t>
      </w:r>
      <w:r>
        <w:rPr>
          <w:rFonts w:hint="eastAsia"/>
        </w:rPr>
        <w:t>的规定。</w:t>
      </w:r>
    </w:p>
    <w:p w:rsidR="000403C9" w:rsidRDefault="00F8386B" w:rsidP="00471462">
      <w:pPr>
        <w:pStyle w:val="afffffffff0"/>
      </w:pPr>
      <w:r>
        <w:rPr>
          <w:rFonts w:hint="eastAsia"/>
        </w:rPr>
        <w:t>未达到上述耕地质量标准的田块，应通过土壤改良措施达到要求，土壤改良措施见附录B。土壤改良工程在平整田地时统筹实施。</w:t>
      </w:r>
    </w:p>
    <w:p w:rsidR="000403C9" w:rsidRDefault="00F8386B">
      <w:pPr>
        <w:pStyle w:val="affd"/>
        <w:spacing w:before="156" w:after="156"/>
      </w:pPr>
      <w:r>
        <w:rPr>
          <w:rFonts w:hint="eastAsia"/>
        </w:rPr>
        <w:t>灌溉与排水工程</w:t>
      </w:r>
    </w:p>
    <w:p w:rsidR="000403C9" w:rsidRDefault="00F8386B">
      <w:pPr>
        <w:pStyle w:val="affe"/>
        <w:spacing w:before="156" w:after="156"/>
      </w:pPr>
      <w:r>
        <w:rPr>
          <w:rFonts w:hint="eastAsia"/>
        </w:rPr>
        <w:t>灌溉</w:t>
      </w:r>
    </w:p>
    <w:p w:rsidR="000403C9" w:rsidRDefault="00F8386B" w:rsidP="00471462">
      <w:pPr>
        <w:pStyle w:val="afffffffff0"/>
      </w:pPr>
      <w:r>
        <w:rPr>
          <w:rFonts w:hint="eastAsia"/>
        </w:rPr>
        <w:t>垦造藕田项目区必须要有水源保证，水资源利用应以地表水为主，地下水为辅，严格控制开采深层水和承压水。做到蓄、引、提相结合，中、小、微型工程并举，大力开展节水灌溉，提高水资源利用效率。</w:t>
      </w:r>
    </w:p>
    <w:p w:rsidR="000403C9" w:rsidRDefault="00F8386B" w:rsidP="00471462">
      <w:pPr>
        <w:pStyle w:val="afffffffff0"/>
      </w:pPr>
      <w:r>
        <w:rPr>
          <w:rFonts w:hint="eastAsia"/>
        </w:rPr>
        <w:t>灌溉水源要求清洁、无污染，灌溉水质应符合现行GB5084-2021的规定。</w:t>
      </w:r>
    </w:p>
    <w:p w:rsidR="000403C9" w:rsidRDefault="00F8386B" w:rsidP="00471462">
      <w:pPr>
        <w:pStyle w:val="afffffffff0"/>
      </w:pPr>
      <w:r>
        <w:rPr>
          <w:rFonts w:hint="eastAsia"/>
        </w:rPr>
        <w:t>根据垦造规模、地形条件、交通和耕作要求，合理布局各级输配水渠道。各级渠道应配套完善的渠系建筑物，做到引水有门、分水有闸、过路有桥、运行安全、管理方便。藕田灌溉设计保证率应达到95%，渠系建筑物配套率达到100%，灌溉渠道应采用衬砌工程，衬砌率达到100%。</w:t>
      </w:r>
    </w:p>
    <w:p w:rsidR="000403C9" w:rsidRDefault="00F8386B" w:rsidP="00471462">
      <w:pPr>
        <w:pStyle w:val="afffffffff0"/>
      </w:pPr>
      <w:r>
        <w:rPr>
          <w:rFonts w:hint="eastAsia"/>
        </w:rPr>
        <w:t>垦造藕田项目区的干、支、斗、农级渠道应达到GB/T 50363-2018的要求，渠系水利用系数符合小型灌区要求（不低于0.75）。</w:t>
      </w:r>
    </w:p>
    <w:p w:rsidR="000403C9" w:rsidRDefault="00F8386B" w:rsidP="00471462">
      <w:pPr>
        <w:pStyle w:val="afffffffff0"/>
      </w:pPr>
      <w:r>
        <w:rPr>
          <w:rFonts w:hint="eastAsia"/>
        </w:rPr>
        <w:t>在地势低无自流灌溉条件时，应修建泵站。泵站、机井等工程宜采用专用直配输电线路供电。泵站建设应符合GB 50265-2010的要求。</w:t>
      </w:r>
    </w:p>
    <w:p w:rsidR="000403C9" w:rsidRDefault="00F8386B">
      <w:pPr>
        <w:pStyle w:val="affe"/>
        <w:spacing w:before="156" w:after="156"/>
      </w:pPr>
      <w:r>
        <w:rPr>
          <w:rFonts w:hint="eastAsia"/>
        </w:rPr>
        <w:t>排水</w:t>
      </w:r>
    </w:p>
    <w:p w:rsidR="000403C9" w:rsidRDefault="00F8386B" w:rsidP="00471462">
      <w:pPr>
        <w:pStyle w:val="afffffffff0"/>
      </w:pPr>
      <w:r>
        <w:rPr>
          <w:rFonts w:hint="eastAsia"/>
        </w:rPr>
        <w:lastRenderedPageBreak/>
        <w:t>排水沟设置应与田间其他工程（灌渠、道路、林网）相协调，要求田间排水沟系配套率达到100%。</w:t>
      </w:r>
    </w:p>
    <w:p w:rsidR="000403C9" w:rsidRDefault="00F8386B" w:rsidP="00471462">
      <w:pPr>
        <w:pStyle w:val="afffffffff0"/>
      </w:pPr>
      <w:r>
        <w:rPr>
          <w:rFonts w:hint="eastAsia"/>
        </w:rPr>
        <w:t>防洪能力达到20年一遇的标准；排涝能力达到10年一遇的标准；在10年一遇暴雨后，应在48小时内排至耐淹深度。</w:t>
      </w:r>
    </w:p>
    <w:p w:rsidR="000403C9" w:rsidRDefault="00F8386B">
      <w:pPr>
        <w:pStyle w:val="affe"/>
        <w:spacing w:before="156" w:after="156"/>
      </w:pPr>
      <w:r>
        <w:rPr>
          <w:rFonts w:hint="eastAsia"/>
        </w:rPr>
        <w:t>配置要求</w:t>
      </w:r>
    </w:p>
    <w:p w:rsidR="000403C9" w:rsidRDefault="00F8386B" w:rsidP="00471462">
      <w:pPr>
        <w:pStyle w:val="afffffffff0"/>
      </w:pPr>
      <w:r>
        <w:rPr>
          <w:rFonts w:hint="eastAsia"/>
        </w:rPr>
        <w:t>对于连片的废弃鱼塘、坑塘的垦造，应在综合利用原有灌排渠系的基础上，按照上述原则进行灌排渠系的补充和完善。</w:t>
      </w:r>
    </w:p>
    <w:p w:rsidR="000403C9" w:rsidRDefault="00F8386B" w:rsidP="00471462">
      <w:pPr>
        <w:pStyle w:val="afffffffff0"/>
      </w:pPr>
      <w:r>
        <w:rPr>
          <w:rFonts w:hint="eastAsia"/>
        </w:rPr>
        <w:t>对于零散废弃鱼塘、坑塘的垦造，应修缮或新建灌排渠系，使之与周边农田灌排系统相连。</w:t>
      </w:r>
    </w:p>
    <w:p w:rsidR="000403C9" w:rsidRDefault="00F8386B" w:rsidP="00471462">
      <w:pPr>
        <w:pStyle w:val="afffffffff0"/>
      </w:pPr>
      <w:r>
        <w:rPr>
          <w:rFonts w:hint="eastAsia"/>
        </w:rPr>
        <w:t>渠道选线应工程量小、满足输水任务、经济合理。灌溉渠道宜布置在垦造区的脊线，尽量达到最大自流灌溉面积。排水沟道宜布置在排水区的洼线，尽量达到最大排水效果。灌排工程的设计参照GB 50288-2018和GB/T 50363-2018的规定。</w:t>
      </w:r>
    </w:p>
    <w:p w:rsidR="000403C9" w:rsidRDefault="00F8386B" w:rsidP="00471462">
      <w:pPr>
        <w:pStyle w:val="afffffffff0"/>
      </w:pPr>
      <w:r>
        <w:rPr>
          <w:rFonts w:hint="eastAsia"/>
        </w:rPr>
        <w:t>藕池两端对角设置进排水口，进水口要高出池最高水位</w:t>
      </w:r>
      <w:r w:rsidR="00090015">
        <w:rPr>
          <w:rFonts w:hint="eastAsia"/>
        </w:rPr>
        <w:t>20</w:t>
      </w:r>
      <w:r>
        <w:rPr>
          <w:rFonts w:hint="eastAsia"/>
        </w:rPr>
        <w:t>cm以上。藕池水位控制原则为：前浅、中深、后浅。浅水藕适合水位10</w:t>
      </w:r>
      <w:r w:rsidR="00AA2E16">
        <w:rPr>
          <w:rFonts w:hint="eastAsia"/>
        </w:rPr>
        <w:t>cm</w:t>
      </w:r>
      <w:r w:rsidR="00090015">
        <w:rPr>
          <w:rFonts w:hint="eastAsia"/>
        </w:rPr>
        <w:t>-20</w:t>
      </w:r>
      <w:r>
        <w:rPr>
          <w:rFonts w:hint="eastAsia"/>
        </w:rPr>
        <w:t>cm，最大耐水深度30</w:t>
      </w:r>
      <w:r w:rsidR="00AA2E16">
        <w:t>cm</w:t>
      </w:r>
      <w:r w:rsidR="00090015">
        <w:rPr>
          <w:rFonts w:hint="eastAsia"/>
        </w:rPr>
        <w:t>-50</w:t>
      </w:r>
      <w:r>
        <w:rPr>
          <w:rFonts w:hint="eastAsia"/>
        </w:rPr>
        <w:t>cm；深水藕适合水位30</w:t>
      </w:r>
      <w:r w:rsidR="00AA2E16">
        <w:rPr>
          <w:rFonts w:hint="eastAsia"/>
        </w:rPr>
        <w:t>cm</w:t>
      </w:r>
      <w:r w:rsidR="00090015">
        <w:rPr>
          <w:rFonts w:hint="eastAsia"/>
        </w:rPr>
        <w:t>-50</w:t>
      </w:r>
      <w:r>
        <w:rPr>
          <w:rFonts w:hint="eastAsia"/>
        </w:rPr>
        <w:t>cm，最大耐水深度1</w:t>
      </w:r>
      <w:r w:rsidR="00AA2E16">
        <w:t>m</w:t>
      </w:r>
      <w:r w:rsidR="00AA2E16">
        <w:rPr>
          <w:rFonts w:hint="eastAsia"/>
        </w:rPr>
        <w:t>-1.2</w:t>
      </w:r>
      <w:r>
        <w:rPr>
          <w:rFonts w:hint="eastAsia"/>
        </w:rPr>
        <w:t>m。</w:t>
      </w:r>
    </w:p>
    <w:p w:rsidR="000403C9" w:rsidRDefault="00F8386B" w:rsidP="00471462">
      <w:pPr>
        <w:pStyle w:val="afffffffff0"/>
      </w:pPr>
      <w:r>
        <w:rPr>
          <w:rFonts w:hint="eastAsia"/>
        </w:rPr>
        <w:t>原有“上粮下渔”的鱼塘垦造为藕田后，即藕田-旱地兼作区，可在藕池四周边坡等距（约3m）修建旱地排水口，用于相邻旱地排水。</w:t>
      </w:r>
    </w:p>
    <w:p w:rsidR="000403C9" w:rsidRDefault="00F8386B">
      <w:pPr>
        <w:pStyle w:val="affd"/>
        <w:spacing w:before="156" w:after="156"/>
      </w:pPr>
      <w:r>
        <w:rPr>
          <w:rFonts w:hint="eastAsia"/>
        </w:rPr>
        <w:t>田间道路工程</w:t>
      </w:r>
    </w:p>
    <w:p w:rsidR="000403C9" w:rsidRPr="00FD5024" w:rsidRDefault="00F8386B">
      <w:pPr>
        <w:pStyle w:val="afffff5"/>
        <w:ind w:firstLine="420"/>
      </w:pPr>
      <w:r w:rsidRPr="00FD5024">
        <w:rPr>
          <w:rFonts w:hint="eastAsia"/>
        </w:rPr>
        <w:t>项目区田间道路通达度符合GB/T 30600-2014中6.5.4有关平原区的规定。</w:t>
      </w:r>
    </w:p>
    <w:p w:rsidR="000403C9" w:rsidRDefault="00F8386B">
      <w:pPr>
        <w:pStyle w:val="affe"/>
        <w:spacing w:before="156" w:after="156"/>
      </w:pPr>
      <w:r>
        <w:rPr>
          <w:rFonts w:hint="eastAsia"/>
        </w:rPr>
        <w:t>田间道</w:t>
      </w:r>
    </w:p>
    <w:p w:rsidR="000403C9" w:rsidRDefault="00F8386B" w:rsidP="00471462">
      <w:pPr>
        <w:pStyle w:val="afffffffff0"/>
      </w:pPr>
      <w:r>
        <w:rPr>
          <w:rFonts w:hint="eastAsia"/>
        </w:rPr>
        <w:t>田间道应与沟渠、林带结合配置，做到少占耕地，避免或者减少道路跨越沟渠，减少桥涵闸等交叉工程，提高土地集约化利用。</w:t>
      </w:r>
    </w:p>
    <w:p w:rsidR="000403C9" w:rsidRDefault="00F8386B" w:rsidP="00471462">
      <w:pPr>
        <w:pStyle w:val="afffffffff0"/>
      </w:pPr>
      <w:r>
        <w:rPr>
          <w:rFonts w:hint="eastAsia"/>
        </w:rPr>
        <w:t>田间道的布局应方便生产与生活，确保农机能到达每一个耕作田块。</w:t>
      </w:r>
    </w:p>
    <w:p w:rsidR="000403C9" w:rsidRDefault="00F8386B" w:rsidP="00471462">
      <w:pPr>
        <w:pStyle w:val="afffffffff0"/>
      </w:pPr>
      <w:r>
        <w:rPr>
          <w:rFonts w:hint="eastAsia"/>
        </w:rPr>
        <w:t>田间道的路面宽以3</w:t>
      </w:r>
      <w:r w:rsidR="00471462">
        <w:t>m</w:t>
      </w:r>
      <w:r>
        <w:rPr>
          <w:rFonts w:hint="eastAsia"/>
        </w:rPr>
        <w:t>-6m为宜，根据需要设置错车道，错车道宽不少于5.5m。</w:t>
      </w:r>
    </w:p>
    <w:p w:rsidR="000403C9" w:rsidRDefault="00F8386B">
      <w:pPr>
        <w:pStyle w:val="affe"/>
        <w:spacing w:before="156" w:after="156"/>
      </w:pPr>
      <w:r>
        <w:rPr>
          <w:rFonts w:hint="eastAsia"/>
        </w:rPr>
        <w:t>生产路</w:t>
      </w:r>
    </w:p>
    <w:p w:rsidR="000403C9" w:rsidRPr="00FD5024" w:rsidRDefault="00F8386B">
      <w:pPr>
        <w:pStyle w:val="afffff5"/>
        <w:ind w:firstLine="420"/>
      </w:pPr>
      <w:r w:rsidRPr="00FD5024">
        <w:rPr>
          <w:rFonts w:hint="eastAsia"/>
        </w:rPr>
        <w:t>生产路符合NY/T 2148-2012中7.10.2的规定。</w:t>
      </w:r>
    </w:p>
    <w:p w:rsidR="000403C9" w:rsidRDefault="00F8386B">
      <w:pPr>
        <w:pStyle w:val="affd"/>
        <w:spacing w:before="156" w:after="156"/>
      </w:pPr>
      <w:r>
        <w:rPr>
          <w:rFonts w:hint="eastAsia"/>
        </w:rPr>
        <w:t>农田防护与生态环境保持工程</w:t>
      </w:r>
    </w:p>
    <w:p w:rsidR="000403C9" w:rsidRDefault="00F8386B">
      <w:pPr>
        <w:pStyle w:val="afffff5"/>
        <w:ind w:firstLine="420"/>
      </w:pPr>
      <w:r>
        <w:rPr>
          <w:rFonts w:hint="eastAsia"/>
        </w:rPr>
        <w:t>农田防护与生态环境保持工程指为保障土地利用活动安全、保持和改善生态条件、防止或减少污染和自然灾害等所采取的各种措施。</w:t>
      </w:r>
    </w:p>
    <w:p w:rsidR="000403C9" w:rsidRDefault="00F8386B" w:rsidP="00471462">
      <w:pPr>
        <w:pStyle w:val="afffffffff1"/>
      </w:pPr>
      <w:r>
        <w:rPr>
          <w:rFonts w:hint="eastAsia"/>
        </w:rPr>
        <w:t>结合实际情况，布置必要的农田防洪、防风、水土流失控制等农田防护措施，优化农田生态景观，配置生态廊道，维护农田生态系统安全。</w:t>
      </w:r>
    </w:p>
    <w:p w:rsidR="000403C9" w:rsidRDefault="00F8386B" w:rsidP="00471462">
      <w:pPr>
        <w:pStyle w:val="afffffffff1"/>
      </w:pPr>
      <w:r>
        <w:rPr>
          <w:rFonts w:hint="eastAsia"/>
        </w:rPr>
        <w:t>与田、路、渠、沟等有机结合，进行岸坡防护工程，稳定藕田周边岸坡和土堤的安全，防止水土流失。</w:t>
      </w:r>
    </w:p>
    <w:p w:rsidR="000403C9" w:rsidRDefault="00F8386B" w:rsidP="00471462">
      <w:pPr>
        <w:pStyle w:val="afffffffff1"/>
      </w:pPr>
      <w:r>
        <w:rPr>
          <w:rFonts w:hint="eastAsia"/>
        </w:rPr>
        <w:t>合理设置农田防护林，</w:t>
      </w:r>
      <w:r w:rsidRPr="00FD5024">
        <w:rPr>
          <w:rFonts w:hint="eastAsia"/>
        </w:rPr>
        <w:t>防护林占地率符合NY/T 2148-2012附录K.1 华北区平原灌溉类型区的规定。林</w:t>
      </w:r>
      <w:r>
        <w:rPr>
          <w:rFonts w:hint="eastAsia"/>
        </w:rPr>
        <w:t>带应与田、路、渠、沟有机结合，沿田块或田间道路布设，树种的选择和配置，应选择防护效果好、有一定经济效益和景观效应的乡土树种和适合当地条件的配置方式。</w:t>
      </w:r>
    </w:p>
    <w:p w:rsidR="000403C9" w:rsidRDefault="00F8386B">
      <w:pPr>
        <w:pStyle w:val="affd"/>
        <w:spacing w:before="156" w:after="156"/>
      </w:pPr>
      <w:r>
        <w:rPr>
          <w:rFonts w:hint="eastAsia"/>
        </w:rPr>
        <w:t>农田输配电工程</w:t>
      </w:r>
    </w:p>
    <w:p w:rsidR="000403C9" w:rsidRDefault="00F8386B">
      <w:pPr>
        <w:pStyle w:val="afffff5"/>
        <w:ind w:firstLine="420"/>
      </w:pPr>
      <w:r>
        <w:rPr>
          <w:rFonts w:hint="eastAsia"/>
        </w:rPr>
        <w:lastRenderedPageBreak/>
        <w:t>农田输配电工程指为泵站、机井以及信息化工程等提供电力保障所需的强电、弱电等各种措施，包括输电线路工程和变配电装置。其设置应与排灌、道路工程相结合，符合电力系统安装与运行相关标准，保证用电质量和安全。</w:t>
      </w:r>
    </w:p>
    <w:p w:rsidR="000403C9" w:rsidRDefault="00F8386B">
      <w:pPr>
        <w:pStyle w:val="affd"/>
        <w:spacing w:before="156" w:after="156"/>
      </w:pPr>
      <w:r>
        <w:rPr>
          <w:rFonts w:hint="eastAsia"/>
        </w:rPr>
        <w:t>其他</w:t>
      </w:r>
    </w:p>
    <w:p w:rsidR="000403C9" w:rsidRDefault="00F8386B">
      <w:pPr>
        <w:pStyle w:val="afffff5"/>
        <w:ind w:firstLine="420"/>
      </w:pPr>
      <w:r>
        <w:rPr>
          <w:rFonts w:hint="eastAsia"/>
        </w:rPr>
        <w:t>除土地平整工程、灌溉与排水工程、田间道路工程、农田防护与生态环境保持工程、农田输配电工程以外的工程，其技术要求参照有关规定执行。</w:t>
      </w:r>
    </w:p>
    <w:p w:rsidR="000403C9" w:rsidRDefault="00F8386B">
      <w:pPr>
        <w:pStyle w:val="affc"/>
        <w:spacing w:before="312" w:after="312"/>
      </w:pPr>
      <w:r>
        <w:rPr>
          <w:rFonts w:hint="eastAsia"/>
        </w:rPr>
        <w:t>管理要求</w:t>
      </w:r>
    </w:p>
    <w:p w:rsidR="000403C9" w:rsidRDefault="00F8386B">
      <w:pPr>
        <w:pStyle w:val="affd"/>
        <w:spacing w:before="156" w:after="156"/>
      </w:pPr>
      <w:r>
        <w:rPr>
          <w:rFonts w:hint="eastAsia"/>
        </w:rPr>
        <w:t>验收管理</w:t>
      </w:r>
    </w:p>
    <w:p w:rsidR="000403C9" w:rsidRPr="00FD5024" w:rsidRDefault="00F8386B">
      <w:pPr>
        <w:pStyle w:val="afffff5"/>
        <w:ind w:firstLine="420"/>
      </w:pPr>
      <w:r w:rsidRPr="00FD5024">
        <w:rPr>
          <w:rFonts w:hint="eastAsia"/>
        </w:rPr>
        <w:t>根据TD/T 1013-2013的相关要求进行垦造藕田项目验收。</w:t>
      </w:r>
    </w:p>
    <w:p w:rsidR="000403C9" w:rsidRDefault="00F8386B" w:rsidP="00471462">
      <w:pPr>
        <w:pStyle w:val="afffffffff1"/>
      </w:pPr>
      <w:r>
        <w:rPr>
          <w:rFonts w:hint="eastAsia"/>
        </w:rPr>
        <w:t>验收内容包括：建设范围、建设规模、新增耕地面积、工程任务完成情况、工程质量、耕地质量、资金使用与管理、权属调整成果等。</w:t>
      </w:r>
    </w:p>
    <w:p w:rsidR="000403C9" w:rsidRDefault="00F8386B" w:rsidP="00471462">
      <w:pPr>
        <w:pStyle w:val="afffffffff1"/>
      </w:pPr>
      <w:r>
        <w:rPr>
          <w:rFonts w:hint="eastAsia"/>
        </w:rPr>
        <w:t>验收应以批准的项目规划设计和设计变更、相关技术标准规范为依据，先由施工单位自行检查评定合格并经监理单位认可，再由项目承担单位初验并提交验收申请后，由立项单位组织验收。</w:t>
      </w:r>
    </w:p>
    <w:p w:rsidR="000403C9" w:rsidRDefault="00F8386B">
      <w:pPr>
        <w:pStyle w:val="affd"/>
        <w:spacing w:before="156" w:after="156"/>
      </w:pPr>
      <w:r>
        <w:rPr>
          <w:rFonts w:hint="eastAsia"/>
        </w:rPr>
        <w:t xml:space="preserve">信息统计和管理  </w:t>
      </w:r>
    </w:p>
    <w:p w:rsidR="000403C9" w:rsidRDefault="00F8386B" w:rsidP="00090015">
      <w:pPr>
        <w:pStyle w:val="afffffffff1"/>
      </w:pPr>
      <w:r>
        <w:rPr>
          <w:rFonts w:hint="eastAsia"/>
        </w:rPr>
        <w:t>建立藕田建设统计报表制度，定期进行信息的统计、汇总和上报。</w:t>
      </w:r>
    </w:p>
    <w:p w:rsidR="000403C9" w:rsidRDefault="00F8386B" w:rsidP="00090015">
      <w:pPr>
        <w:pStyle w:val="afffffffff1"/>
      </w:pPr>
      <w:r>
        <w:rPr>
          <w:rFonts w:hint="eastAsia"/>
        </w:rPr>
        <w:t>采用信息化手段对藕田建设和利用的全过程进行管理，实现集中统一、全程全面、实时动态的管理要求。</w:t>
      </w:r>
    </w:p>
    <w:p w:rsidR="000403C9" w:rsidRDefault="00F8386B" w:rsidP="00090015">
      <w:pPr>
        <w:pStyle w:val="afffffffff1"/>
      </w:pPr>
      <w:r>
        <w:rPr>
          <w:rFonts w:hint="eastAsia"/>
        </w:rPr>
        <w:t>及时记载藕田建设过程的有关管理、技术等文件，以及具有保存价值的各种载体资料进行立卷归档，确保材料真实、准确、完整。</w:t>
      </w:r>
    </w:p>
    <w:p w:rsidR="000403C9" w:rsidRDefault="00F8386B">
      <w:pPr>
        <w:pStyle w:val="affc"/>
        <w:spacing w:before="312" w:after="312"/>
      </w:pPr>
      <w:r>
        <w:rPr>
          <w:rFonts w:hint="eastAsia"/>
        </w:rPr>
        <w:t>建后管护与利用</w:t>
      </w:r>
    </w:p>
    <w:p w:rsidR="000403C9" w:rsidRDefault="00F8386B" w:rsidP="00D973D6">
      <w:pPr>
        <w:pStyle w:val="affffffffe"/>
      </w:pPr>
      <w:r>
        <w:rPr>
          <w:rFonts w:hint="eastAsia"/>
        </w:rPr>
        <w:t>实行“市负总责、县为主体”的建设监管机制。建立政府主导，农村集体经济组织管理，农户、专业管护人员以及专业协会等共同参与的管护体系。按照谁受益、谁管护的原则，明确管护主体、管护责任和管护义务，办理移交手续，签订后期管护合同。管护主体应对各项工程设施进行经常性检查维护，确保长期有效稳定利用。</w:t>
      </w:r>
    </w:p>
    <w:p w:rsidR="000403C9" w:rsidRDefault="00F8386B" w:rsidP="00D973D6">
      <w:pPr>
        <w:pStyle w:val="affffffffe"/>
      </w:pPr>
      <w:r>
        <w:rPr>
          <w:rFonts w:hint="eastAsia"/>
        </w:rPr>
        <w:t>垦造藕田项目通过县级验收后，县自然资源与规划部门将验收项目清单、图件及相关资料移交县农业、林业部门。项目所在乡镇人民政府（街道办事处）按照后续种植、地力培育、产业结构调整等相关规定，负责做好垦造藕田后续种植和地力培育指导工作，防止抛荒。</w:t>
      </w:r>
    </w:p>
    <w:p w:rsidR="000403C9" w:rsidRDefault="000403C9">
      <w:pPr>
        <w:pStyle w:val="afffff5"/>
        <w:numPr>
          <w:ilvl w:val="0"/>
          <w:numId w:val="43"/>
        </w:numPr>
        <w:ind w:firstLineChars="0"/>
        <w:sectPr w:rsidR="000403C9">
          <w:pgSz w:w="11906" w:h="16838"/>
          <w:pgMar w:top="2410" w:right="1134" w:bottom="1134" w:left="1134" w:header="1418" w:footer="1134" w:gutter="284"/>
          <w:pgNumType w:start="1"/>
          <w:cols w:space="425"/>
          <w:formProt w:val="0"/>
          <w:docGrid w:type="lines" w:linePitch="312"/>
        </w:sectPr>
      </w:pPr>
    </w:p>
    <w:p w:rsidR="000403C9" w:rsidRDefault="000403C9">
      <w:pPr>
        <w:pStyle w:val="af8"/>
        <w:rPr>
          <w:vanish w:val="0"/>
        </w:rPr>
      </w:pPr>
      <w:bookmarkStart w:id="41" w:name="BookMark5"/>
      <w:bookmarkEnd w:id="22"/>
    </w:p>
    <w:p w:rsidR="000403C9" w:rsidRDefault="000403C9">
      <w:pPr>
        <w:pStyle w:val="afe"/>
        <w:rPr>
          <w:vanish w:val="0"/>
        </w:rPr>
      </w:pPr>
    </w:p>
    <w:p w:rsidR="000403C9" w:rsidRDefault="00F8386B">
      <w:pPr>
        <w:pStyle w:val="aff3"/>
        <w:spacing w:before="78" w:after="156"/>
      </w:pPr>
      <w:r>
        <w:br/>
      </w:r>
      <w:r>
        <w:rPr>
          <w:rFonts w:hint="eastAsia"/>
        </w:rPr>
        <w:t>（</w:t>
      </w:r>
      <w:r w:rsidR="00D973D6">
        <w:rPr>
          <w:rFonts w:hint="eastAsia"/>
        </w:rPr>
        <w:t>规范性</w:t>
      </w:r>
      <w:r>
        <w:rPr>
          <w:rFonts w:hint="eastAsia"/>
        </w:rPr>
        <w:t>）</w:t>
      </w:r>
      <w:r>
        <w:br/>
      </w:r>
      <w:r>
        <w:rPr>
          <w:rFonts w:hint="eastAsia"/>
        </w:rPr>
        <w:t>标准藕池修筑平面示意图</w:t>
      </w:r>
    </w:p>
    <w:p w:rsidR="000403C9" w:rsidRDefault="00D973D6">
      <w:pPr>
        <w:pStyle w:val="afffff5"/>
        <w:ind w:firstLine="420"/>
      </w:pPr>
      <w:r w:rsidRPr="00D973D6">
        <w:rPr>
          <w:rFonts w:hint="eastAsia"/>
        </w:rPr>
        <w:t>标准藕池修筑平面示意图</w:t>
      </w:r>
      <w:r>
        <w:rPr>
          <w:rFonts w:hint="eastAsia"/>
        </w:rPr>
        <w:t>详见图A</w:t>
      </w:r>
      <w:r>
        <w:t>.1</w:t>
      </w:r>
      <w:r>
        <w:rPr>
          <w:rFonts w:hint="eastAsia"/>
        </w:rPr>
        <w:t>。</w:t>
      </w:r>
    </w:p>
    <w:p w:rsidR="000403C9" w:rsidRDefault="00F8386B">
      <w:pPr>
        <w:pStyle w:val="afffff5"/>
        <w:ind w:firstLine="420"/>
      </w:pPr>
      <w:r>
        <w:rPr>
          <w:noProof/>
        </w:rPr>
        <w:drawing>
          <wp:inline distT="0" distB="0" distL="0" distR="0">
            <wp:extent cx="5228590" cy="3723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228590" cy="3723640"/>
                    </a:xfrm>
                    <a:prstGeom prst="rect">
                      <a:avLst/>
                    </a:prstGeom>
                    <a:noFill/>
                  </pic:spPr>
                </pic:pic>
              </a:graphicData>
            </a:graphic>
          </wp:inline>
        </w:drawing>
      </w:r>
    </w:p>
    <w:p w:rsidR="000403C9" w:rsidRDefault="000403C9">
      <w:pPr>
        <w:pStyle w:val="afffff5"/>
        <w:ind w:firstLine="420"/>
      </w:pPr>
    </w:p>
    <w:p w:rsidR="000403C9" w:rsidRDefault="00F8386B">
      <w:pPr>
        <w:pStyle w:val="af9"/>
        <w:spacing w:before="156" w:after="156"/>
        <w:sectPr w:rsidR="000403C9">
          <w:pgSz w:w="11906" w:h="16838"/>
          <w:pgMar w:top="2410" w:right="1134" w:bottom="1134" w:left="1134" w:header="1418" w:footer="1134" w:gutter="284"/>
          <w:cols w:space="425"/>
          <w:formProt w:val="0"/>
          <w:docGrid w:type="lines" w:linePitch="312"/>
        </w:sectPr>
      </w:pPr>
      <w:r>
        <w:rPr>
          <w:rFonts w:hint="eastAsia"/>
        </w:rPr>
        <w:t>标准藕池修筑平面示意图</w:t>
      </w:r>
    </w:p>
    <w:p w:rsidR="000403C9" w:rsidRDefault="000403C9">
      <w:pPr>
        <w:pStyle w:val="af8"/>
        <w:rPr>
          <w:vanish w:val="0"/>
        </w:rPr>
      </w:pPr>
    </w:p>
    <w:p w:rsidR="000403C9" w:rsidRDefault="000403C9">
      <w:pPr>
        <w:pStyle w:val="afe"/>
        <w:rPr>
          <w:vanish w:val="0"/>
        </w:rPr>
      </w:pPr>
    </w:p>
    <w:p w:rsidR="000403C9" w:rsidRDefault="00F8386B">
      <w:pPr>
        <w:pStyle w:val="aff3"/>
        <w:spacing w:before="78" w:after="156"/>
      </w:pPr>
      <w:r>
        <w:br/>
      </w:r>
      <w:r>
        <w:rPr>
          <w:rFonts w:hint="eastAsia"/>
        </w:rPr>
        <w:t>（</w:t>
      </w:r>
      <w:r w:rsidR="00D973D6">
        <w:rPr>
          <w:rFonts w:hint="eastAsia"/>
        </w:rPr>
        <w:t>规范性</w:t>
      </w:r>
      <w:r>
        <w:rPr>
          <w:rFonts w:hint="eastAsia"/>
        </w:rPr>
        <w:t>）</w:t>
      </w:r>
      <w:r>
        <w:br/>
      </w:r>
      <w:r>
        <w:rPr>
          <w:rFonts w:hint="eastAsia"/>
        </w:rPr>
        <w:t>耕作层土壤改良措施</w:t>
      </w:r>
    </w:p>
    <w:p w:rsidR="00D973D6" w:rsidRPr="00D973D6" w:rsidRDefault="00D973D6" w:rsidP="00D973D6">
      <w:pPr>
        <w:pStyle w:val="afffff5"/>
        <w:ind w:firstLine="420"/>
      </w:pPr>
      <w:r>
        <w:rPr>
          <w:rFonts w:hint="eastAsia"/>
        </w:rPr>
        <w:t>耕作层土壤改良措施详见表B</w:t>
      </w:r>
      <w:r>
        <w:t>.1</w:t>
      </w:r>
      <w:r>
        <w:rPr>
          <w:rFonts w:hint="eastAsia"/>
        </w:rPr>
        <w:t>。</w:t>
      </w:r>
    </w:p>
    <w:p w:rsidR="000403C9" w:rsidRDefault="00F8386B">
      <w:pPr>
        <w:pStyle w:val="aff"/>
        <w:spacing w:before="156" w:after="156"/>
      </w:pPr>
      <w:r>
        <w:rPr>
          <w:rFonts w:hint="eastAsia"/>
        </w:rPr>
        <w:t>耕作层土壤改良措施</w:t>
      </w:r>
    </w:p>
    <w:p w:rsidR="000403C9" w:rsidRDefault="000403C9">
      <w:pPr>
        <w:pStyle w:val="afffff5"/>
        <w:ind w:firstLine="420"/>
      </w:pPr>
    </w:p>
    <w:p w:rsidR="000403C9" w:rsidRDefault="000403C9">
      <w:pPr>
        <w:pStyle w:val="afffff5"/>
        <w:ind w:firstLine="420"/>
      </w:pPr>
    </w:p>
    <w:p w:rsidR="000403C9" w:rsidRDefault="000403C9">
      <w:pPr>
        <w:pStyle w:val="afffff5"/>
        <w:ind w:firstLine="42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51"/>
        <w:gridCol w:w="4507"/>
        <w:gridCol w:w="3780"/>
      </w:tblGrid>
      <w:tr w:rsidR="000403C9">
        <w:trPr>
          <w:jc w:val="center"/>
        </w:trPr>
        <w:tc>
          <w:tcPr>
            <w:tcW w:w="563" w:type="pct"/>
            <w:vAlign w:val="center"/>
          </w:tcPr>
          <w:bookmarkEnd w:id="41"/>
          <w:p w:rsidR="000403C9" w:rsidRDefault="00F8386B">
            <w:pPr>
              <w:autoSpaceDN w:val="0"/>
              <w:spacing w:line="276" w:lineRule="auto"/>
              <w:jc w:val="center"/>
              <w:textAlignment w:val="center"/>
              <w:rPr>
                <w:rFonts w:ascii="Times New Roman" w:eastAsia="仿宋" w:hAnsi="Times New Roman"/>
                <w:b/>
                <w:bCs/>
              </w:rPr>
            </w:pPr>
            <w:r>
              <w:rPr>
                <w:rFonts w:ascii="Times New Roman" w:eastAsia="仿宋" w:hAnsi="Times New Roman" w:hint="eastAsia"/>
                <w:b/>
                <w:bCs/>
              </w:rPr>
              <w:t>土壤障碍类型</w:t>
            </w:r>
          </w:p>
        </w:tc>
        <w:tc>
          <w:tcPr>
            <w:tcW w:w="2413" w:type="pct"/>
            <w:vAlign w:val="center"/>
          </w:tcPr>
          <w:p w:rsidR="000403C9" w:rsidRDefault="00F8386B">
            <w:pPr>
              <w:autoSpaceDN w:val="0"/>
              <w:spacing w:line="276" w:lineRule="auto"/>
              <w:jc w:val="center"/>
              <w:textAlignment w:val="center"/>
              <w:rPr>
                <w:rFonts w:ascii="Times New Roman" w:eastAsia="仿宋" w:hAnsi="Times New Roman"/>
                <w:b/>
                <w:bCs/>
              </w:rPr>
            </w:pPr>
            <w:r>
              <w:rPr>
                <w:rFonts w:ascii="Times New Roman" w:eastAsia="仿宋" w:hAnsi="Times New Roman" w:hint="eastAsia"/>
                <w:b/>
                <w:bCs/>
              </w:rPr>
              <w:t>障碍描述</w:t>
            </w:r>
          </w:p>
        </w:tc>
        <w:tc>
          <w:tcPr>
            <w:tcW w:w="2025" w:type="pct"/>
            <w:vAlign w:val="center"/>
          </w:tcPr>
          <w:p w:rsidR="000403C9" w:rsidRDefault="00F8386B">
            <w:pPr>
              <w:autoSpaceDN w:val="0"/>
              <w:spacing w:line="276" w:lineRule="auto"/>
              <w:jc w:val="center"/>
              <w:textAlignment w:val="center"/>
              <w:rPr>
                <w:rFonts w:ascii="Times New Roman" w:eastAsia="仿宋" w:hAnsi="Times New Roman"/>
                <w:b/>
                <w:bCs/>
              </w:rPr>
            </w:pPr>
            <w:r>
              <w:rPr>
                <w:rFonts w:ascii="Times New Roman" w:eastAsia="仿宋" w:hAnsi="Times New Roman" w:hint="eastAsia"/>
                <w:b/>
                <w:bCs/>
              </w:rPr>
              <w:t>改良措施</w:t>
            </w:r>
          </w:p>
        </w:tc>
      </w:tr>
      <w:tr w:rsidR="000403C9">
        <w:trPr>
          <w:trHeight w:val="725"/>
          <w:jc w:val="center"/>
        </w:trPr>
        <w:tc>
          <w:tcPr>
            <w:tcW w:w="563" w:type="pct"/>
            <w:vAlign w:val="center"/>
          </w:tcPr>
          <w:p w:rsidR="000403C9" w:rsidRDefault="00F8386B">
            <w:pPr>
              <w:autoSpaceDN w:val="0"/>
              <w:spacing w:line="276" w:lineRule="auto"/>
              <w:jc w:val="center"/>
              <w:textAlignment w:val="center"/>
              <w:rPr>
                <w:rFonts w:ascii="Times New Roman" w:eastAsia="仿宋" w:hAnsi="Times New Roman"/>
                <w:b/>
              </w:rPr>
            </w:pPr>
            <w:r>
              <w:rPr>
                <w:rFonts w:ascii="Times New Roman" w:eastAsia="仿宋" w:hAnsi="Times New Roman" w:hint="eastAsia"/>
                <w:b/>
              </w:rPr>
              <w:t>瘠薄培肥型</w:t>
            </w:r>
          </w:p>
        </w:tc>
        <w:tc>
          <w:tcPr>
            <w:tcW w:w="2413" w:type="pct"/>
            <w:vAlign w:val="center"/>
          </w:tcPr>
          <w:p w:rsidR="000403C9" w:rsidRDefault="00F8386B">
            <w:pPr>
              <w:autoSpaceDN w:val="0"/>
              <w:spacing w:line="276" w:lineRule="auto"/>
              <w:jc w:val="left"/>
              <w:textAlignment w:val="center"/>
              <w:rPr>
                <w:rFonts w:ascii="Times New Roman" w:eastAsia="仿宋" w:hAnsi="Times New Roman"/>
              </w:rPr>
            </w:pPr>
            <w:r>
              <w:rPr>
                <w:rFonts w:ascii="Times New Roman" w:eastAsia="仿宋" w:hAnsi="Times New Roman" w:hint="eastAsia"/>
              </w:rPr>
              <w:t>耕层浅薄，有机质含量低、养分不足，易导致作物生长不良，产量低。</w:t>
            </w:r>
          </w:p>
        </w:tc>
        <w:tc>
          <w:tcPr>
            <w:tcW w:w="2025" w:type="pct"/>
            <w:vAlign w:val="center"/>
          </w:tcPr>
          <w:p w:rsidR="000403C9" w:rsidRDefault="00F8386B">
            <w:pPr>
              <w:autoSpaceDE w:val="0"/>
              <w:autoSpaceDN w:val="0"/>
              <w:spacing w:line="276" w:lineRule="auto"/>
              <w:rPr>
                <w:rFonts w:ascii="Times New Roman" w:eastAsia="仿宋" w:hAnsi="Times New Roman"/>
              </w:rPr>
            </w:pPr>
            <w:r>
              <w:rPr>
                <w:rFonts w:ascii="Times New Roman" w:eastAsia="仿宋" w:hAnsi="Times New Roman" w:hint="eastAsia"/>
                <w:szCs w:val="24"/>
              </w:rPr>
              <w:t>宜采用秸秆还田、绿肥翻压还田、增施有机肥、深耕、水旱轮作等措施，措施应连续实施</w:t>
            </w:r>
            <w:r>
              <w:rPr>
                <w:rFonts w:ascii="Times New Roman" w:eastAsia="仿宋" w:hAnsi="Times New Roman"/>
                <w:szCs w:val="24"/>
              </w:rPr>
              <w:t>3</w:t>
            </w:r>
            <w:r>
              <w:rPr>
                <w:rFonts w:ascii="Times New Roman" w:eastAsia="仿宋" w:hAnsi="Times New Roman" w:hint="eastAsia"/>
                <w:szCs w:val="24"/>
              </w:rPr>
              <w:t>年以上。</w:t>
            </w:r>
          </w:p>
        </w:tc>
      </w:tr>
      <w:tr w:rsidR="000403C9">
        <w:trPr>
          <w:trHeight w:val="1490"/>
          <w:jc w:val="center"/>
        </w:trPr>
        <w:tc>
          <w:tcPr>
            <w:tcW w:w="563" w:type="pct"/>
            <w:vAlign w:val="center"/>
          </w:tcPr>
          <w:p w:rsidR="000403C9" w:rsidRDefault="00F8386B">
            <w:pPr>
              <w:autoSpaceDN w:val="0"/>
              <w:spacing w:line="276" w:lineRule="auto"/>
              <w:jc w:val="center"/>
              <w:textAlignment w:val="center"/>
              <w:rPr>
                <w:rFonts w:ascii="Times New Roman" w:eastAsia="仿宋" w:hAnsi="Times New Roman"/>
                <w:b/>
              </w:rPr>
            </w:pPr>
            <w:r>
              <w:rPr>
                <w:rFonts w:ascii="Times New Roman" w:eastAsia="仿宋" w:hAnsi="Times New Roman" w:hint="eastAsia"/>
                <w:b/>
              </w:rPr>
              <w:t>过砂过粘型</w:t>
            </w:r>
          </w:p>
          <w:p w:rsidR="000403C9" w:rsidRDefault="000403C9">
            <w:pPr>
              <w:autoSpaceDN w:val="0"/>
              <w:spacing w:line="276" w:lineRule="auto"/>
              <w:jc w:val="center"/>
              <w:textAlignment w:val="center"/>
              <w:rPr>
                <w:rFonts w:ascii="Times New Roman" w:eastAsia="仿宋" w:hAnsi="Times New Roman"/>
                <w:b/>
              </w:rPr>
            </w:pPr>
          </w:p>
        </w:tc>
        <w:tc>
          <w:tcPr>
            <w:tcW w:w="2413" w:type="pct"/>
            <w:vAlign w:val="center"/>
          </w:tcPr>
          <w:p w:rsidR="000403C9" w:rsidRDefault="00F8386B">
            <w:pPr>
              <w:autoSpaceDN w:val="0"/>
              <w:spacing w:line="276" w:lineRule="auto"/>
              <w:jc w:val="left"/>
              <w:textAlignment w:val="center"/>
              <w:rPr>
                <w:rFonts w:ascii="Times New Roman" w:eastAsia="仿宋" w:hAnsi="Times New Roman"/>
              </w:rPr>
            </w:pPr>
            <w:r>
              <w:rPr>
                <w:rFonts w:ascii="Times New Roman" w:eastAsia="仿宋" w:hAnsi="Times New Roman" w:hint="eastAsia"/>
              </w:rPr>
              <w:t>土壤偏砂，养分含量低，保水保肥能力弱，土壤易板结、沉实，作物根系难于生长；土壤偏粘，则土壤通气性差，作物根系发育不良。</w:t>
            </w:r>
          </w:p>
        </w:tc>
        <w:tc>
          <w:tcPr>
            <w:tcW w:w="2025" w:type="pct"/>
            <w:vAlign w:val="center"/>
          </w:tcPr>
          <w:p w:rsidR="000403C9" w:rsidRDefault="00F8386B">
            <w:pPr>
              <w:autoSpaceDN w:val="0"/>
              <w:spacing w:line="276" w:lineRule="auto"/>
              <w:textAlignment w:val="center"/>
              <w:rPr>
                <w:rFonts w:ascii="Times New Roman" w:eastAsia="仿宋" w:hAnsi="Times New Roman"/>
              </w:rPr>
            </w:pPr>
            <w:r>
              <w:rPr>
                <w:rFonts w:ascii="Times New Roman" w:eastAsia="仿宋" w:hAnsi="Times New Roman" w:hint="eastAsia"/>
              </w:rPr>
              <w:t>宜采用增施有机肥、塘泥、客土、秸秆还田等措施，改善土壤结构，使其符合耕种要求。</w:t>
            </w:r>
          </w:p>
        </w:tc>
      </w:tr>
      <w:tr w:rsidR="000403C9">
        <w:trPr>
          <w:jc w:val="center"/>
        </w:trPr>
        <w:tc>
          <w:tcPr>
            <w:tcW w:w="563" w:type="pct"/>
            <w:vAlign w:val="center"/>
          </w:tcPr>
          <w:p w:rsidR="000403C9" w:rsidRDefault="00F8386B">
            <w:pPr>
              <w:autoSpaceDN w:val="0"/>
              <w:spacing w:line="276" w:lineRule="auto"/>
              <w:jc w:val="center"/>
              <w:textAlignment w:val="center"/>
              <w:rPr>
                <w:rFonts w:ascii="Times New Roman" w:eastAsia="仿宋" w:hAnsi="Times New Roman"/>
                <w:b/>
              </w:rPr>
            </w:pPr>
            <w:r>
              <w:rPr>
                <w:rFonts w:ascii="Times New Roman" w:eastAsia="仿宋" w:hAnsi="Times New Roman" w:hint="eastAsia"/>
                <w:b/>
              </w:rPr>
              <w:t>酸化型</w:t>
            </w:r>
          </w:p>
        </w:tc>
        <w:tc>
          <w:tcPr>
            <w:tcW w:w="2413" w:type="pct"/>
            <w:vAlign w:val="center"/>
          </w:tcPr>
          <w:p w:rsidR="000403C9" w:rsidRDefault="00F8386B">
            <w:pPr>
              <w:autoSpaceDN w:val="0"/>
              <w:spacing w:line="276" w:lineRule="auto"/>
              <w:jc w:val="left"/>
              <w:textAlignment w:val="center"/>
              <w:rPr>
                <w:rFonts w:ascii="Times New Roman" w:eastAsia="仿宋" w:hAnsi="Times New Roman"/>
              </w:rPr>
            </w:pPr>
            <w:r>
              <w:rPr>
                <w:rFonts w:ascii="Times New Roman" w:eastAsia="仿宋" w:hAnsi="Times New Roman" w:hint="eastAsia"/>
              </w:rPr>
              <w:t>土壤</w:t>
            </w:r>
            <w:r>
              <w:rPr>
                <w:rFonts w:ascii="Times New Roman" w:eastAsia="仿宋" w:hAnsi="Times New Roman"/>
              </w:rPr>
              <w:t>pH</w:t>
            </w:r>
            <w:r>
              <w:rPr>
                <w:rFonts w:ascii="Times New Roman" w:eastAsia="仿宋" w:hAnsi="Times New Roman" w:hint="eastAsia"/>
              </w:rPr>
              <w:t>偏酸，易产生铝毒，活化重金属。</w:t>
            </w:r>
          </w:p>
        </w:tc>
        <w:tc>
          <w:tcPr>
            <w:tcW w:w="2025" w:type="pct"/>
            <w:vAlign w:val="center"/>
          </w:tcPr>
          <w:p w:rsidR="000403C9" w:rsidRDefault="00F8386B">
            <w:pPr>
              <w:autoSpaceDN w:val="0"/>
              <w:spacing w:line="276" w:lineRule="auto"/>
              <w:textAlignment w:val="center"/>
              <w:rPr>
                <w:rFonts w:ascii="Times New Roman" w:eastAsia="仿宋" w:hAnsi="Times New Roman"/>
              </w:rPr>
            </w:pPr>
            <w:bookmarkStart w:id="42" w:name="OLE_LINK116"/>
            <w:bookmarkStart w:id="43" w:name="OLE_LINK115"/>
            <w:bookmarkStart w:id="44" w:name="OLE_LINK114"/>
            <w:r>
              <w:rPr>
                <w:rFonts w:ascii="Times New Roman" w:eastAsia="仿宋" w:hAnsi="Times New Roman" w:hint="eastAsia"/>
              </w:rPr>
              <w:t>施用生石灰、碱性土壤调理剂、有机肥等。</w:t>
            </w:r>
            <w:bookmarkEnd w:id="42"/>
            <w:bookmarkEnd w:id="43"/>
            <w:bookmarkEnd w:id="44"/>
          </w:p>
        </w:tc>
      </w:tr>
      <w:tr w:rsidR="000403C9">
        <w:trPr>
          <w:jc w:val="center"/>
        </w:trPr>
        <w:tc>
          <w:tcPr>
            <w:tcW w:w="563" w:type="pct"/>
            <w:vAlign w:val="center"/>
          </w:tcPr>
          <w:p w:rsidR="000403C9" w:rsidRDefault="00F8386B">
            <w:pPr>
              <w:autoSpaceDN w:val="0"/>
              <w:spacing w:line="276" w:lineRule="auto"/>
              <w:jc w:val="center"/>
              <w:textAlignment w:val="center"/>
              <w:rPr>
                <w:rFonts w:ascii="Times New Roman" w:eastAsia="仿宋" w:hAnsi="Times New Roman"/>
                <w:b/>
              </w:rPr>
            </w:pPr>
            <w:r>
              <w:rPr>
                <w:rFonts w:ascii="Times New Roman" w:eastAsia="仿宋" w:hAnsi="Times New Roman" w:hint="eastAsia"/>
                <w:b/>
              </w:rPr>
              <w:t>可修复污染型</w:t>
            </w:r>
          </w:p>
        </w:tc>
        <w:tc>
          <w:tcPr>
            <w:tcW w:w="2413" w:type="pct"/>
            <w:vAlign w:val="center"/>
          </w:tcPr>
          <w:p w:rsidR="000403C9" w:rsidRDefault="00F8386B">
            <w:pPr>
              <w:autoSpaceDN w:val="0"/>
              <w:spacing w:line="276" w:lineRule="auto"/>
              <w:jc w:val="left"/>
              <w:textAlignment w:val="center"/>
              <w:rPr>
                <w:rFonts w:ascii="Times New Roman" w:eastAsia="仿宋" w:hAnsi="Times New Roman"/>
              </w:rPr>
            </w:pPr>
            <w:r>
              <w:rPr>
                <w:rFonts w:ascii="Times New Roman" w:eastAsia="仿宋" w:hAnsi="Times New Roman" w:hint="eastAsia"/>
              </w:rPr>
              <w:t>土壤重金属含量超标，引起水生作物污染物含量超标。</w:t>
            </w:r>
          </w:p>
        </w:tc>
        <w:tc>
          <w:tcPr>
            <w:tcW w:w="2025" w:type="pct"/>
            <w:vAlign w:val="center"/>
          </w:tcPr>
          <w:p w:rsidR="000403C9" w:rsidRDefault="00F8386B">
            <w:pPr>
              <w:autoSpaceDN w:val="0"/>
              <w:spacing w:line="276" w:lineRule="auto"/>
              <w:textAlignment w:val="center"/>
              <w:rPr>
                <w:rFonts w:ascii="Times New Roman" w:eastAsia="仿宋" w:hAnsi="Times New Roman"/>
              </w:rPr>
            </w:pPr>
            <w:r>
              <w:rPr>
                <w:rFonts w:ascii="Times New Roman" w:eastAsia="仿宋" w:hAnsi="Times New Roman" w:hint="eastAsia"/>
              </w:rPr>
              <w:t>应通过物理、生物、化学等方法进行修复，修复后土壤环境质量应符合</w:t>
            </w:r>
            <w:r>
              <w:rPr>
                <w:rFonts w:ascii="Times New Roman" w:eastAsia="仿宋" w:hAnsi="Times New Roman"/>
              </w:rPr>
              <w:t>GB15618</w:t>
            </w:r>
            <w:r>
              <w:rPr>
                <w:rFonts w:ascii="Times New Roman" w:eastAsia="仿宋" w:hAnsi="Times New Roman" w:hint="eastAsia"/>
              </w:rPr>
              <w:t>的规定。</w:t>
            </w:r>
          </w:p>
        </w:tc>
      </w:tr>
    </w:tbl>
    <w:p w:rsidR="000403C9" w:rsidRDefault="000403C9">
      <w:pPr>
        <w:pStyle w:val="afffff5"/>
        <w:ind w:firstLine="420"/>
      </w:pPr>
      <w:bookmarkStart w:id="45" w:name="_GoBack"/>
      <w:bookmarkEnd w:id="45"/>
    </w:p>
    <w:sectPr w:rsidR="000403C9">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F6B" w:rsidRDefault="005C6F6B">
      <w:pPr>
        <w:spacing w:line="240" w:lineRule="auto"/>
      </w:pPr>
      <w:r>
        <w:separator/>
      </w:r>
    </w:p>
  </w:endnote>
  <w:endnote w:type="continuationSeparator" w:id="0">
    <w:p w:rsidR="005C6F6B" w:rsidRDefault="005C6F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altName w:val="Lucida Sans"/>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altName w:val="??????¡§????"/>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3C9" w:rsidRDefault="00F8386B">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3C9" w:rsidRDefault="000403C9">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3C9" w:rsidRDefault="00F8386B">
    <w:pPr>
      <w:pStyle w:val="afffff2"/>
    </w:pPr>
    <w:r>
      <w:fldChar w:fldCharType="begin"/>
    </w:r>
    <w:r>
      <w:instrText>PAGE   \* MERGEFORMAT</w:instrText>
    </w:r>
    <w:r>
      <w:fldChar w:fldCharType="separate"/>
    </w:r>
    <w:r w:rsidR="00FD5024" w:rsidRPr="00FD5024">
      <w:rPr>
        <w:noProof/>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F6B" w:rsidRDefault="005C6F6B">
      <w:pPr>
        <w:spacing w:line="240" w:lineRule="auto"/>
      </w:pPr>
      <w:r>
        <w:separator/>
      </w:r>
    </w:p>
  </w:footnote>
  <w:footnote w:type="continuationSeparator" w:id="0">
    <w:p w:rsidR="005C6F6B" w:rsidRDefault="005C6F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3C9" w:rsidRDefault="00F8386B">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3C9" w:rsidRDefault="000403C9">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3C9" w:rsidRDefault="00F8386B">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AD0F0F">
      <w:rPr>
        <w:noProof/>
        <w:lang w:val="fr-FR"/>
      </w:rPr>
      <w:t>DB XX/T XXXX—2021</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3C9" w:rsidRDefault="00F8386B">
    <w:pPr>
      <w:pStyle w:val="afffffa"/>
    </w:pPr>
    <w:r>
      <w:fldChar w:fldCharType="begin"/>
    </w:r>
    <w:r>
      <w:instrText xml:space="preserve"> STYLEREF  标准文件_文件编号  \* MERGEFORMAT </w:instrText>
    </w:r>
    <w:r>
      <w:fldChar w:fldCharType="separate"/>
    </w:r>
    <w:r w:rsidR="00FD5024">
      <w:rPr>
        <w:noProof/>
      </w:rPr>
      <w:t>DB XX/T XXXX</w:t>
    </w:r>
    <w:r w:rsidR="00FD5024">
      <w:rPr>
        <w:noProof/>
      </w:rPr>
      <w:t>—</w:t>
    </w:r>
    <w:r w:rsidR="00FD5024">
      <w:rPr>
        <w:noProof/>
      </w:rPr>
      <w:t>2022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4584F51"/>
    <w:multiLevelType w:val="multilevel"/>
    <w:tmpl w:val="04584F51"/>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7464017"/>
    <w:multiLevelType w:val="multilevel"/>
    <w:tmpl w:val="07464017"/>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8F9567D"/>
    <w:multiLevelType w:val="multilevel"/>
    <w:tmpl w:val="08F9567D"/>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8"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0" w15:restartNumberingAfterBreak="0">
    <w:nsid w:val="147F7CDE"/>
    <w:multiLevelType w:val="multilevel"/>
    <w:tmpl w:val="147F7CDE"/>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3" w15:restartNumberingAfterBreak="0">
    <w:nsid w:val="1D6265E7"/>
    <w:multiLevelType w:val="multilevel"/>
    <w:tmpl w:val="1D6265E7"/>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5"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6"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37E63CBA"/>
    <w:multiLevelType w:val="multilevel"/>
    <w:tmpl w:val="37E63CBA"/>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405F34A7"/>
    <w:multiLevelType w:val="multilevel"/>
    <w:tmpl w:val="405F34A7"/>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43D0534F"/>
    <w:multiLevelType w:val="multilevel"/>
    <w:tmpl w:val="43D0534F"/>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1"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3"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4" w15:restartNumberingAfterBreak="0">
    <w:nsid w:val="4FB93429"/>
    <w:multiLevelType w:val="multilevel"/>
    <w:tmpl w:val="4FB93429"/>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6"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7" w15:restartNumberingAfterBreak="0">
    <w:nsid w:val="55DE651B"/>
    <w:multiLevelType w:val="multilevel"/>
    <w:tmpl w:val="55DE651B"/>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5" w15:restartNumberingAfterBreak="0">
    <w:nsid w:val="697C0C8D"/>
    <w:multiLevelType w:val="multilevel"/>
    <w:tmpl w:val="697C0C8D"/>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CEA2025"/>
    <w:multiLevelType w:val="multilevel"/>
    <w:tmpl w:val="FA80BEA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4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7CA777AC"/>
    <w:multiLevelType w:val="multilevel"/>
    <w:tmpl w:val="7CA777AC"/>
    <w:lvl w:ilvl="0">
      <w:start w:val="1"/>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38"/>
  </w:num>
  <w:num w:numId="3">
    <w:abstractNumId w:val="8"/>
  </w:num>
  <w:num w:numId="4">
    <w:abstractNumId w:val="33"/>
  </w:num>
  <w:num w:numId="5">
    <w:abstractNumId w:val="28"/>
  </w:num>
  <w:num w:numId="6">
    <w:abstractNumId w:val="21"/>
  </w:num>
  <w:num w:numId="7">
    <w:abstractNumId w:val="12"/>
  </w:num>
  <w:num w:numId="8">
    <w:abstractNumId w:val="5"/>
  </w:num>
  <w:num w:numId="9">
    <w:abstractNumId w:val="14"/>
  </w:num>
  <w:num w:numId="10">
    <w:abstractNumId w:val="25"/>
  </w:num>
  <w:num w:numId="11">
    <w:abstractNumId w:val="36"/>
  </w:num>
  <w:num w:numId="12">
    <w:abstractNumId w:val="16"/>
  </w:num>
  <w:num w:numId="13">
    <w:abstractNumId w:val="20"/>
  </w:num>
  <w:num w:numId="14">
    <w:abstractNumId w:val="11"/>
  </w:num>
  <w:num w:numId="15">
    <w:abstractNumId w:val="29"/>
  </w:num>
  <w:num w:numId="16">
    <w:abstractNumId w:val="31"/>
  </w:num>
  <w:num w:numId="17">
    <w:abstractNumId w:val="26"/>
  </w:num>
  <w:num w:numId="18">
    <w:abstractNumId w:val="40"/>
  </w:num>
  <w:num w:numId="19">
    <w:abstractNumId w:val="23"/>
  </w:num>
  <w:num w:numId="20">
    <w:abstractNumId w:val="1"/>
  </w:num>
  <w:num w:numId="21">
    <w:abstractNumId w:val="15"/>
  </w:num>
  <w:num w:numId="22">
    <w:abstractNumId w:val="41"/>
  </w:num>
  <w:num w:numId="23">
    <w:abstractNumId w:val="30"/>
  </w:num>
  <w:num w:numId="24">
    <w:abstractNumId w:val="9"/>
  </w:num>
  <w:num w:numId="25">
    <w:abstractNumId w:val="37"/>
  </w:num>
  <w:num w:numId="26">
    <w:abstractNumId w:val="39"/>
  </w:num>
  <w:num w:numId="27">
    <w:abstractNumId w:val="4"/>
  </w:num>
  <w:num w:numId="28">
    <w:abstractNumId w:val="7"/>
  </w:num>
  <w:num w:numId="29">
    <w:abstractNumId w:val="22"/>
  </w:num>
  <w:num w:numId="30">
    <w:abstractNumId w:val="34"/>
  </w:num>
  <w:num w:numId="31">
    <w:abstractNumId w:val="32"/>
  </w:num>
  <w:num w:numId="32">
    <w:abstractNumId w:val="24"/>
  </w:num>
  <w:num w:numId="33">
    <w:abstractNumId w:val="19"/>
  </w:num>
  <w:num w:numId="34">
    <w:abstractNumId w:val="10"/>
  </w:num>
  <w:num w:numId="35">
    <w:abstractNumId w:val="6"/>
  </w:num>
  <w:num w:numId="36">
    <w:abstractNumId w:val="35"/>
  </w:num>
  <w:num w:numId="37">
    <w:abstractNumId w:val="18"/>
  </w:num>
  <w:num w:numId="38">
    <w:abstractNumId w:val="17"/>
  </w:num>
  <w:num w:numId="39">
    <w:abstractNumId w:val="3"/>
  </w:num>
  <w:num w:numId="40">
    <w:abstractNumId w:val="2"/>
  </w:num>
  <w:num w:numId="41">
    <w:abstractNumId w:val="13"/>
  </w:num>
  <w:num w:numId="42">
    <w:abstractNumId w:val="42"/>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attachedTemplate r:id="rId1"/>
  <w:documentProtection w:edit="forms" w:enforcement="1" w:cryptProviderType="rsaAES" w:cryptAlgorithmClass="hash" w:cryptAlgorithmType="typeAny" w:cryptAlgorithmSid="14" w:cryptSpinCount="100000" w:hash="hrLXPMzm33fRvBb10bmh+ztZqLkHLUe8YjpFoZfCupNO5K/sEyZirT55TfU2T24MW45hMPb0ar+ZWnZflXyqiw==" w:salt="8CwbzdRiLxl/8Mufilc0K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674"/>
    <w:rsid w:val="0000040A"/>
    <w:rsid w:val="00000A94"/>
    <w:rsid w:val="00001972"/>
    <w:rsid w:val="00001D9A"/>
    <w:rsid w:val="000043D7"/>
    <w:rsid w:val="00007B3A"/>
    <w:rsid w:val="000107E0"/>
    <w:rsid w:val="00011FDE"/>
    <w:rsid w:val="00012FFD"/>
    <w:rsid w:val="00014162"/>
    <w:rsid w:val="00014340"/>
    <w:rsid w:val="00014CED"/>
    <w:rsid w:val="00016A9C"/>
    <w:rsid w:val="00022184"/>
    <w:rsid w:val="00022762"/>
    <w:rsid w:val="000238E0"/>
    <w:rsid w:val="000249DB"/>
    <w:rsid w:val="0002595E"/>
    <w:rsid w:val="000303C3"/>
    <w:rsid w:val="000331D3"/>
    <w:rsid w:val="000346A5"/>
    <w:rsid w:val="000359C3"/>
    <w:rsid w:val="00035A7D"/>
    <w:rsid w:val="000365ED"/>
    <w:rsid w:val="000403C9"/>
    <w:rsid w:val="0004249A"/>
    <w:rsid w:val="00043282"/>
    <w:rsid w:val="00043DD6"/>
    <w:rsid w:val="00044286"/>
    <w:rsid w:val="00047F28"/>
    <w:rsid w:val="000503AA"/>
    <w:rsid w:val="000506A1"/>
    <w:rsid w:val="000515DD"/>
    <w:rsid w:val="0005265A"/>
    <w:rsid w:val="000539DD"/>
    <w:rsid w:val="00053BD3"/>
    <w:rsid w:val="000556ED"/>
    <w:rsid w:val="00055FE2"/>
    <w:rsid w:val="0005616F"/>
    <w:rsid w:val="00060C2E"/>
    <w:rsid w:val="00061033"/>
    <w:rsid w:val="00061916"/>
    <w:rsid w:val="000619E9"/>
    <w:rsid w:val="000622D4"/>
    <w:rsid w:val="0006357D"/>
    <w:rsid w:val="00067F1E"/>
    <w:rsid w:val="00071CC0"/>
    <w:rsid w:val="00073C8C"/>
    <w:rsid w:val="00077B64"/>
    <w:rsid w:val="00080A1C"/>
    <w:rsid w:val="00082317"/>
    <w:rsid w:val="00083D2C"/>
    <w:rsid w:val="00086AA1"/>
    <w:rsid w:val="00087A77"/>
    <w:rsid w:val="00090015"/>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281F"/>
    <w:rsid w:val="000F4AEA"/>
    <w:rsid w:val="000F633F"/>
    <w:rsid w:val="000F67E9"/>
    <w:rsid w:val="001025ED"/>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141E"/>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111"/>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2DD"/>
    <w:rsid w:val="00210B15"/>
    <w:rsid w:val="002142EA"/>
    <w:rsid w:val="002204BB"/>
    <w:rsid w:val="00221B79"/>
    <w:rsid w:val="00221C6B"/>
    <w:rsid w:val="002253A1"/>
    <w:rsid w:val="00225585"/>
    <w:rsid w:val="00225CF8"/>
    <w:rsid w:val="0022794E"/>
    <w:rsid w:val="00233D64"/>
    <w:rsid w:val="0023482A"/>
    <w:rsid w:val="002359CB"/>
    <w:rsid w:val="00243540"/>
    <w:rsid w:val="0024497B"/>
    <w:rsid w:val="0024515B"/>
    <w:rsid w:val="00246021"/>
    <w:rsid w:val="0024666E"/>
    <w:rsid w:val="002479D8"/>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1022"/>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3A0"/>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1A10"/>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4D2"/>
    <w:rsid w:val="00400E72"/>
    <w:rsid w:val="00401400"/>
    <w:rsid w:val="00404869"/>
    <w:rsid w:val="00405884"/>
    <w:rsid w:val="00407D39"/>
    <w:rsid w:val="0041477A"/>
    <w:rsid w:val="004167A3"/>
    <w:rsid w:val="00432DAA"/>
    <w:rsid w:val="00434305"/>
    <w:rsid w:val="00435DF7"/>
    <w:rsid w:val="0044083F"/>
    <w:rsid w:val="0044111E"/>
    <w:rsid w:val="00441AE7"/>
    <w:rsid w:val="00445574"/>
    <w:rsid w:val="004467FB"/>
    <w:rsid w:val="00452D6B"/>
    <w:rsid w:val="00454484"/>
    <w:rsid w:val="0045517B"/>
    <w:rsid w:val="00460501"/>
    <w:rsid w:val="00463B77"/>
    <w:rsid w:val="00463C7B"/>
    <w:rsid w:val="004644A6"/>
    <w:rsid w:val="004659BD"/>
    <w:rsid w:val="00470775"/>
    <w:rsid w:val="00471462"/>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6F4"/>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C7A"/>
    <w:rsid w:val="00516088"/>
    <w:rsid w:val="00516B0B"/>
    <w:rsid w:val="005220EC"/>
    <w:rsid w:val="00523F95"/>
    <w:rsid w:val="00524D65"/>
    <w:rsid w:val="00525B16"/>
    <w:rsid w:val="00532488"/>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97B3F"/>
    <w:rsid w:val="005A0966"/>
    <w:rsid w:val="005A11B7"/>
    <w:rsid w:val="005A17A8"/>
    <w:rsid w:val="005A260B"/>
    <w:rsid w:val="005A4A1B"/>
    <w:rsid w:val="005A7830"/>
    <w:rsid w:val="005A7FCE"/>
    <w:rsid w:val="005B0F3F"/>
    <w:rsid w:val="005B4903"/>
    <w:rsid w:val="005B51CE"/>
    <w:rsid w:val="005B5885"/>
    <w:rsid w:val="005B5CD7"/>
    <w:rsid w:val="005B6CF6"/>
    <w:rsid w:val="005B7422"/>
    <w:rsid w:val="005C29B8"/>
    <w:rsid w:val="005C5F21"/>
    <w:rsid w:val="005C6F6B"/>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76CD"/>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6C98"/>
    <w:rsid w:val="006770F4"/>
    <w:rsid w:val="00677A84"/>
    <w:rsid w:val="0068026D"/>
    <w:rsid w:val="00680A27"/>
    <w:rsid w:val="00681674"/>
    <w:rsid w:val="006816A4"/>
    <w:rsid w:val="006819B8"/>
    <w:rsid w:val="006840A6"/>
    <w:rsid w:val="006850CD"/>
    <w:rsid w:val="006856F1"/>
    <w:rsid w:val="00685AAB"/>
    <w:rsid w:val="00695D22"/>
    <w:rsid w:val="006A07AA"/>
    <w:rsid w:val="006A25E5"/>
    <w:rsid w:val="006A2B46"/>
    <w:rsid w:val="006A336D"/>
    <w:rsid w:val="006A37B9"/>
    <w:rsid w:val="006A3CC2"/>
    <w:rsid w:val="006B2672"/>
    <w:rsid w:val="006B54BF"/>
    <w:rsid w:val="006B5F44"/>
    <w:rsid w:val="006B5F90"/>
    <w:rsid w:val="006B62E4"/>
    <w:rsid w:val="006C1BBA"/>
    <w:rsid w:val="006C2079"/>
    <w:rsid w:val="006C4C71"/>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385"/>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4EFF"/>
    <w:rsid w:val="007F75CE"/>
    <w:rsid w:val="00800DA1"/>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1FAF"/>
    <w:rsid w:val="008620FC"/>
    <w:rsid w:val="008627A5"/>
    <w:rsid w:val="00863E05"/>
    <w:rsid w:val="00864904"/>
    <w:rsid w:val="00865ACA"/>
    <w:rsid w:val="00865D28"/>
    <w:rsid w:val="00865F85"/>
    <w:rsid w:val="00867C10"/>
    <w:rsid w:val="00870439"/>
    <w:rsid w:val="00870DA1"/>
    <w:rsid w:val="00883F93"/>
    <w:rsid w:val="00884DB3"/>
    <w:rsid w:val="00885A9D"/>
    <w:rsid w:val="008864F6"/>
    <w:rsid w:val="0089049D"/>
    <w:rsid w:val="00892388"/>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27F"/>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3B16"/>
    <w:rsid w:val="00965E04"/>
    <w:rsid w:val="009674AD"/>
    <w:rsid w:val="00970CDC"/>
    <w:rsid w:val="00977010"/>
    <w:rsid w:val="00977D02"/>
    <w:rsid w:val="009809BB"/>
    <w:rsid w:val="0098364B"/>
    <w:rsid w:val="009911AF"/>
    <w:rsid w:val="00991875"/>
    <w:rsid w:val="00991F92"/>
    <w:rsid w:val="00992985"/>
    <w:rsid w:val="00993889"/>
    <w:rsid w:val="0099551B"/>
    <w:rsid w:val="00995739"/>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2F49"/>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2E16"/>
    <w:rsid w:val="00AA4286"/>
    <w:rsid w:val="00AA456B"/>
    <w:rsid w:val="00AA57F5"/>
    <w:rsid w:val="00AA672E"/>
    <w:rsid w:val="00AA6EC9"/>
    <w:rsid w:val="00AB41D5"/>
    <w:rsid w:val="00AB6309"/>
    <w:rsid w:val="00AB6C5F"/>
    <w:rsid w:val="00AB7129"/>
    <w:rsid w:val="00AC06E0"/>
    <w:rsid w:val="00AC27A6"/>
    <w:rsid w:val="00AC30F7"/>
    <w:rsid w:val="00AC3A5A"/>
    <w:rsid w:val="00AC4D95"/>
    <w:rsid w:val="00AC5DF4"/>
    <w:rsid w:val="00AD0AEF"/>
    <w:rsid w:val="00AD0F0F"/>
    <w:rsid w:val="00AD11B7"/>
    <w:rsid w:val="00AD1A94"/>
    <w:rsid w:val="00AD1C05"/>
    <w:rsid w:val="00AD4126"/>
    <w:rsid w:val="00AD421C"/>
    <w:rsid w:val="00AD44FA"/>
    <w:rsid w:val="00AE070A"/>
    <w:rsid w:val="00AE101C"/>
    <w:rsid w:val="00AE37E5"/>
    <w:rsid w:val="00AE5EB4"/>
    <w:rsid w:val="00AF0C18"/>
    <w:rsid w:val="00AF47C5"/>
    <w:rsid w:val="00AF5398"/>
    <w:rsid w:val="00B03B97"/>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4244"/>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220E"/>
    <w:rsid w:val="00BD52D7"/>
    <w:rsid w:val="00BD5AD2"/>
    <w:rsid w:val="00BE22F3"/>
    <w:rsid w:val="00BE5B52"/>
    <w:rsid w:val="00BE6DCA"/>
    <w:rsid w:val="00BE7B8D"/>
    <w:rsid w:val="00BF0993"/>
    <w:rsid w:val="00BF10A9"/>
    <w:rsid w:val="00BF1703"/>
    <w:rsid w:val="00BF231C"/>
    <w:rsid w:val="00BF51E5"/>
    <w:rsid w:val="00BF5D56"/>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260"/>
    <w:rsid w:val="00C279B2"/>
    <w:rsid w:val="00C33E50"/>
    <w:rsid w:val="00C34C20"/>
    <w:rsid w:val="00C35A3E"/>
    <w:rsid w:val="00C42130"/>
    <w:rsid w:val="00C423A4"/>
    <w:rsid w:val="00C44BF5"/>
    <w:rsid w:val="00C4595C"/>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2AA"/>
    <w:rsid w:val="00CE0C4F"/>
    <w:rsid w:val="00CE30EA"/>
    <w:rsid w:val="00CE7A33"/>
    <w:rsid w:val="00CF048A"/>
    <w:rsid w:val="00CF155A"/>
    <w:rsid w:val="00CF2947"/>
    <w:rsid w:val="00CF686F"/>
    <w:rsid w:val="00CF6E60"/>
    <w:rsid w:val="00CF7BCA"/>
    <w:rsid w:val="00D008FD"/>
    <w:rsid w:val="00D02172"/>
    <w:rsid w:val="00D0321C"/>
    <w:rsid w:val="00D035EC"/>
    <w:rsid w:val="00D04E30"/>
    <w:rsid w:val="00D06AB1"/>
    <w:rsid w:val="00D06FA0"/>
    <w:rsid w:val="00D072ED"/>
    <w:rsid w:val="00D07A16"/>
    <w:rsid w:val="00D1067E"/>
    <w:rsid w:val="00D10F50"/>
    <w:rsid w:val="00D11272"/>
    <w:rsid w:val="00D126F5"/>
    <w:rsid w:val="00D1489E"/>
    <w:rsid w:val="00D20737"/>
    <w:rsid w:val="00D21E81"/>
    <w:rsid w:val="00D223DE"/>
    <w:rsid w:val="00D22D26"/>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05FB"/>
    <w:rsid w:val="00D51BF3"/>
    <w:rsid w:val="00D66846"/>
    <w:rsid w:val="00D675FB"/>
    <w:rsid w:val="00D71F25"/>
    <w:rsid w:val="00D72A9C"/>
    <w:rsid w:val="00D76E4A"/>
    <w:rsid w:val="00D77031"/>
    <w:rsid w:val="00D84941"/>
    <w:rsid w:val="00D84FA1"/>
    <w:rsid w:val="00D851F0"/>
    <w:rsid w:val="00D86DB7"/>
    <w:rsid w:val="00D926D0"/>
    <w:rsid w:val="00D93030"/>
    <w:rsid w:val="00D950E1"/>
    <w:rsid w:val="00D952A6"/>
    <w:rsid w:val="00D973D6"/>
    <w:rsid w:val="00D97F99"/>
    <w:rsid w:val="00DA1E08"/>
    <w:rsid w:val="00DA24F8"/>
    <w:rsid w:val="00DA28E8"/>
    <w:rsid w:val="00DA2E54"/>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3974"/>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703D"/>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0AFE"/>
    <w:rsid w:val="00E822E8"/>
    <w:rsid w:val="00E82554"/>
    <w:rsid w:val="00E82606"/>
    <w:rsid w:val="00E846C8"/>
    <w:rsid w:val="00E84957"/>
    <w:rsid w:val="00E84A55"/>
    <w:rsid w:val="00E852EA"/>
    <w:rsid w:val="00E85BFF"/>
    <w:rsid w:val="00E86C3E"/>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7C34"/>
    <w:rsid w:val="00F420D5"/>
    <w:rsid w:val="00F451EA"/>
    <w:rsid w:val="00F45447"/>
    <w:rsid w:val="00F456C6"/>
    <w:rsid w:val="00F4577B"/>
    <w:rsid w:val="00F46496"/>
    <w:rsid w:val="00F474D0"/>
    <w:rsid w:val="00F50179"/>
    <w:rsid w:val="00F515EE"/>
    <w:rsid w:val="00F51D17"/>
    <w:rsid w:val="00F56511"/>
    <w:rsid w:val="00F6194E"/>
    <w:rsid w:val="00F623AC"/>
    <w:rsid w:val="00F634FA"/>
    <w:rsid w:val="00F6412A"/>
    <w:rsid w:val="00F65893"/>
    <w:rsid w:val="00F66A4A"/>
    <w:rsid w:val="00F71E22"/>
    <w:rsid w:val="00F72142"/>
    <w:rsid w:val="00F72AE7"/>
    <w:rsid w:val="00F81141"/>
    <w:rsid w:val="00F81466"/>
    <w:rsid w:val="00F833BA"/>
    <w:rsid w:val="00F8386B"/>
    <w:rsid w:val="00F84FD0"/>
    <w:rsid w:val="00F859A8"/>
    <w:rsid w:val="00F86D87"/>
    <w:rsid w:val="00F87E63"/>
    <w:rsid w:val="00F90510"/>
    <w:rsid w:val="00F9108B"/>
    <w:rsid w:val="00F91349"/>
    <w:rsid w:val="00F9194F"/>
    <w:rsid w:val="00F93A8A"/>
    <w:rsid w:val="00F95248"/>
    <w:rsid w:val="00F956A9"/>
    <w:rsid w:val="00F963ED"/>
    <w:rsid w:val="00F966CF"/>
    <w:rsid w:val="00F96CAE"/>
    <w:rsid w:val="00F97C99"/>
    <w:rsid w:val="00FA0F7C"/>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024"/>
    <w:rsid w:val="00FD5916"/>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01D4774"/>
    <w:rsid w:val="36A22794"/>
    <w:rsid w:val="3DF87403"/>
    <w:rsid w:val="53FB4EC0"/>
    <w:rsid w:val="560A0D0B"/>
    <w:rsid w:val="60966616"/>
    <w:rsid w:val="67D22629"/>
    <w:rsid w:val="6CC42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4FBA148"/>
  <w15:docId w15:val="{C21B0122-9C61-4AD4-84B3-1F9304465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lsdException w:name="toc 6" w:uiPriority="39" w:unhideWhenUsed="1" w:qFormat="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51">
    <w:name w:val="toc 5"/>
    <w:basedOn w:val="afff5"/>
    <w:next w:val="afff5"/>
    <w:uiPriority w:val="39"/>
    <w:unhideWhenUsed/>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rFonts w:ascii="Times New Roman" w:eastAsia="宋体" w:hAnsi="Times New Roman" w:cs="Times New Roman"/>
      <w:szCs w:val="20"/>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pPr>
  </w:style>
  <w:style w:type="paragraph" w:customStyle="1" w:styleId="affffffa">
    <w:name w:val="标准文件_目录标题"/>
    <w:basedOn w:val="afff5"/>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f5"/>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eastAsia="宋体" w:hAnsi="Times New Roman" w:cs="Times New Roman"/>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0">
    <w:name w:val="目录 31"/>
    <w:basedOn w:val="afff5"/>
    <w:next w:val="afff5"/>
    <w:semiHidden/>
    <w:pPr>
      <w:spacing w:line="240" w:lineRule="auto"/>
    </w:pPr>
    <w:rPr>
      <w:rFonts w:ascii="宋体" w:hAnsi="宋体"/>
      <w:iCs/>
    </w:rPr>
  </w:style>
  <w:style w:type="paragraph" w:customStyle="1" w:styleId="410">
    <w:name w:val="目录 41"/>
    <w:basedOn w:val="afff5"/>
    <w:next w:val="afff5"/>
    <w:semiHidden/>
    <w:pPr>
      <w:adjustRightInd/>
      <w:spacing w:line="240" w:lineRule="auto"/>
      <w:jc w:val="left"/>
    </w:pPr>
  </w:style>
  <w:style w:type="paragraph" w:customStyle="1" w:styleId="510">
    <w:name w:val="目录 51"/>
    <w:basedOn w:val="afff5"/>
    <w:next w:val="afff5"/>
    <w:semiHidden/>
    <w:pPr>
      <w:spacing w:line="240" w:lineRule="auto"/>
    </w:pPr>
    <w:rPr>
      <w:rFonts w:ascii="宋体" w:hAnsi="宋体"/>
    </w:rPr>
  </w:style>
  <w:style w:type="paragraph" w:customStyle="1" w:styleId="610">
    <w:name w:val="目录 61"/>
    <w:basedOn w:val="afff5"/>
    <w:next w:val="afff5"/>
    <w:semiHidden/>
    <w:pPr>
      <w:adjustRightInd/>
      <w:spacing w:line="240" w:lineRule="auto"/>
      <w:jc w:val="left"/>
    </w:pPr>
  </w:style>
  <w:style w:type="paragraph" w:customStyle="1" w:styleId="710">
    <w:name w:val="目录 71"/>
    <w:basedOn w:val="610"/>
    <w:semiHidden/>
    <w:pPr>
      <w:ind w:left="1260"/>
    </w:pPr>
  </w:style>
  <w:style w:type="paragraph" w:customStyle="1" w:styleId="81">
    <w:name w:val="目录 81"/>
    <w:basedOn w:val="710"/>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styleId="afffffffffffa">
    <w:name w:val="List Paragraph"/>
    <w:basedOn w:val="afff5"/>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23F814EDE404D8BB88194F4B4A32A23"/>
        <w:category>
          <w:name w:val="常规"/>
          <w:gallery w:val="placeholder"/>
        </w:category>
        <w:types>
          <w:type w:val="bbPlcHdr"/>
        </w:types>
        <w:behaviors>
          <w:behavior w:val="content"/>
        </w:behaviors>
        <w:guid w:val="{043E15E9-E2C7-4C73-B389-AC34A15CB5D6}"/>
      </w:docPartPr>
      <w:docPartBody>
        <w:p w:rsidR="00A400A9" w:rsidRDefault="003A497C">
          <w:pPr>
            <w:pStyle w:val="E23F814EDE404D8BB88194F4B4A32A23"/>
          </w:pPr>
          <w:r>
            <w:rPr>
              <w:rStyle w:val="a3"/>
              <w:rFonts w:hint="eastAsia"/>
            </w:rPr>
            <w:t>单击或点击此处输入文字。</w:t>
          </w:r>
        </w:p>
      </w:docPartBody>
    </w:docPart>
    <w:docPart>
      <w:docPartPr>
        <w:name w:val="B4E535C94B954AE7A04E40C122F57266"/>
        <w:category>
          <w:name w:val="常规"/>
          <w:gallery w:val="placeholder"/>
        </w:category>
        <w:types>
          <w:type w:val="bbPlcHdr"/>
        </w:types>
        <w:behaviors>
          <w:behavior w:val="content"/>
        </w:behaviors>
        <w:guid w:val="{97EB2453-D83B-4DC7-A3A8-9FACA70AA723}"/>
      </w:docPartPr>
      <w:docPartBody>
        <w:p w:rsidR="00A400A9" w:rsidRDefault="003A497C">
          <w:pPr>
            <w:pStyle w:val="B4E535C94B954AE7A04E40C122F57266"/>
          </w:pPr>
          <w:r>
            <w:rPr>
              <w:rStyle w:val="a3"/>
              <w:rFonts w:hint="eastAsia"/>
            </w:rPr>
            <w:t>选择一项。</w:t>
          </w:r>
        </w:p>
      </w:docPartBody>
    </w:docPart>
    <w:docPart>
      <w:docPartPr>
        <w:name w:val="04D8668C538445BDBA56178B6F676AD2"/>
        <w:category>
          <w:name w:val="常规"/>
          <w:gallery w:val="placeholder"/>
        </w:category>
        <w:types>
          <w:type w:val="bbPlcHdr"/>
        </w:types>
        <w:behaviors>
          <w:behavior w:val="content"/>
        </w:behaviors>
        <w:guid w:val="{D69A29CB-0AE5-4243-B68A-4A029FD47E2A}"/>
      </w:docPartPr>
      <w:docPartBody>
        <w:p w:rsidR="00A400A9" w:rsidRDefault="003A497C">
          <w:pPr>
            <w:pStyle w:val="04D8668C538445BDBA56178B6F676AD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altName w:val="Lucida Sans"/>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altName w:val="??????¡§????"/>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68C"/>
    <w:rsid w:val="003A497C"/>
    <w:rsid w:val="003B4B1D"/>
    <w:rsid w:val="004866E8"/>
    <w:rsid w:val="0063568C"/>
    <w:rsid w:val="00654F1F"/>
    <w:rsid w:val="00703F2A"/>
    <w:rsid w:val="00867763"/>
    <w:rsid w:val="00A400A9"/>
    <w:rsid w:val="00A45EAA"/>
    <w:rsid w:val="00A87893"/>
    <w:rsid w:val="00AA20A0"/>
    <w:rsid w:val="00AF5CA5"/>
    <w:rsid w:val="00AF7E41"/>
    <w:rsid w:val="00C91067"/>
    <w:rsid w:val="00DB6744"/>
    <w:rsid w:val="00DC6F11"/>
    <w:rsid w:val="00EB6BB7"/>
    <w:rsid w:val="00F83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23F814EDE404D8BB88194F4B4A32A23">
    <w:name w:val="E23F814EDE404D8BB88194F4B4A32A23"/>
    <w:pPr>
      <w:widowControl w:val="0"/>
      <w:jc w:val="both"/>
    </w:pPr>
    <w:rPr>
      <w:kern w:val="2"/>
      <w:sz w:val="21"/>
      <w:szCs w:val="22"/>
    </w:rPr>
  </w:style>
  <w:style w:type="paragraph" w:customStyle="1" w:styleId="B4E535C94B954AE7A04E40C122F57266">
    <w:name w:val="B4E535C94B954AE7A04E40C122F57266"/>
    <w:pPr>
      <w:widowControl w:val="0"/>
      <w:jc w:val="both"/>
    </w:pPr>
    <w:rPr>
      <w:kern w:val="2"/>
      <w:sz w:val="21"/>
      <w:szCs w:val="22"/>
    </w:rPr>
  </w:style>
  <w:style w:type="paragraph" w:customStyle="1" w:styleId="04D8668C538445BDBA56178B6F676AD2">
    <w:name w:val="04D8668C538445BDBA56178B6F676AD2"/>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49DED6-4AD5-4DCE-A1D7-2EBCE347C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203</TotalTime>
  <Pages>9</Pages>
  <Words>853</Words>
  <Characters>4868</Characters>
  <Application>Microsoft Office Word</Application>
  <DocSecurity>0</DocSecurity>
  <Lines>40</Lines>
  <Paragraphs>11</Paragraphs>
  <ScaleCrop>false</ScaleCrop>
  <Company>PCMI</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15</cp:revision>
  <cp:lastPrinted>2022-02-21T02:19:00Z</cp:lastPrinted>
  <dcterms:created xsi:type="dcterms:W3CDTF">2022-02-21T07:22:00Z</dcterms:created>
  <dcterms:modified xsi:type="dcterms:W3CDTF">2022-02-22T07:36:00Z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2052-11.1.0.11294</vt:lpwstr>
  </property>
  <property fmtid="{D5CDD505-2E9C-101B-9397-08002B2CF9AE}" pid="15" name="ICV">
    <vt:lpwstr>1DEE1DBD296D45619A12F0E41B708C5C</vt:lpwstr>
  </property>
</Properties>
</file>